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5D" w:rsidRPr="0088688B" w:rsidRDefault="00B60E5D" w:rsidP="00C3622A">
      <w:pPr>
        <w:pStyle w:val="Heading3"/>
        <w:jc w:val="both"/>
        <w:rPr>
          <w:rFonts w:ascii="Calibri" w:hAnsi="Calibri"/>
          <w:szCs w:val="28"/>
        </w:rPr>
      </w:pPr>
      <w:r w:rsidRPr="0088688B">
        <w:rPr>
          <w:rFonts w:ascii="Calibri" w:hAnsi="Calibri"/>
          <w:szCs w:val="28"/>
        </w:rPr>
        <w:t>Media release</w:t>
      </w:r>
    </w:p>
    <w:p w:rsidR="00B60E5D" w:rsidRPr="0088688B" w:rsidRDefault="00A67FFD" w:rsidP="0088688B">
      <w:pPr>
        <w:jc w:val="both"/>
        <w:rPr>
          <w:sz w:val="28"/>
          <w:szCs w:val="28"/>
        </w:rPr>
      </w:pPr>
      <w:r>
        <w:rPr>
          <w:sz w:val="28"/>
          <w:szCs w:val="28"/>
        </w:rPr>
        <w:t>9</w:t>
      </w:r>
      <w:r w:rsidR="00B60E5D" w:rsidRPr="0088688B">
        <w:rPr>
          <w:sz w:val="28"/>
          <w:szCs w:val="28"/>
          <w:vertAlign w:val="superscript"/>
        </w:rPr>
        <w:t>th</w:t>
      </w:r>
      <w:r w:rsidR="00B60E5D" w:rsidRPr="0088688B">
        <w:rPr>
          <w:sz w:val="28"/>
          <w:szCs w:val="28"/>
        </w:rPr>
        <w:t xml:space="preserve"> </w:t>
      </w:r>
      <w:r>
        <w:rPr>
          <w:sz w:val="28"/>
          <w:szCs w:val="28"/>
        </w:rPr>
        <w:t>July</w:t>
      </w:r>
    </w:p>
    <w:p w:rsidR="00B60E5D" w:rsidRDefault="006965AD" w:rsidP="0088688B">
      <w:pPr>
        <w:jc w:val="both"/>
        <w:rPr>
          <w:b/>
          <w:sz w:val="32"/>
        </w:rPr>
      </w:pPr>
      <w:r>
        <w:rPr>
          <w:b/>
          <w:sz w:val="32"/>
        </w:rPr>
        <w:t>No sign of a slowdown</w:t>
      </w:r>
    </w:p>
    <w:p w:rsidR="00DD0840" w:rsidRDefault="002111DB" w:rsidP="008C0C0F">
      <w:pPr>
        <w:spacing w:after="0" w:line="240" w:lineRule="auto"/>
      </w:pPr>
      <w:r w:rsidRPr="00A501D5">
        <w:t>The latest monthly property value index shows that nationwide residential valu</w:t>
      </w:r>
      <w:r w:rsidR="00F51D7D" w:rsidRPr="00A501D5">
        <w:t xml:space="preserve">es </w:t>
      </w:r>
      <w:r w:rsidR="00E20DA1" w:rsidRPr="00A501D5">
        <w:t>increased further i</w:t>
      </w:r>
      <w:r w:rsidR="00F51D7D" w:rsidRPr="00A501D5">
        <w:t xml:space="preserve">n </w:t>
      </w:r>
      <w:r w:rsidR="00A67FFD" w:rsidRPr="00A501D5">
        <w:t>June</w:t>
      </w:r>
      <w:r w:rsidR="001C3538" w:rsidRPr="00A501D5">
        <w:t xml:space="preserve">. </w:t>
      </w:r>
      <w:r w:rsidR="00DC7424">
        <w:t xml:space="preserve">Values increased </w:t>
      </w:r>
      <w:r w:rsidR="00D342DE" w:rsidRPr="00A501D5">
        <w:t>7.</w:t>
      </w:r>
      <w:r w:rsidR="00A501D5" w:rsidRPr="00A501D5">
        <w:t>6</w:t>
      </w:r>
      <w:r w:rsidR="00D342DE" w:rsidRPr="00A501D5">
        <w:t>%</w:t>
      </w:r>
      <w:r w:rsidR="00DC7424">
        <w:t xml:space="preserve"> over the past year</w:t>
      </w:r>
      <w:r w:rsidR="00D342DE" w:rsidRPr="00A501D5">
        <w:t xml:space="preserve">, with an increase of </w:t>
      </w:r>
      <w:r w:rsidR="00A501D5" w:rsidRPr="00A501D5">
        <w:t>2</w:t>
      </w:r>
      <w:r w:rsidR="00DD0840" w:rsidRPr="00A501D5">
        <w:t>.</w:t>
      </w:r>
      <w:r w:rsidR="00A501D5" w:rsidRPr="00A501D5">
        <w:t>8</w:t>
      </w:r>
      <w:r w:rsidR="00DD0840" w:rsidRPr="00A501D5">
        <w:t xml:space="preserve">% over the past three months.  Values are now up </w:t>
      </w:r>
      <w:r w:rsidR="00A501D5" w:rsidRPr="00A501D5">
        <w:t>6</w:t>
      </w:r>
      <w:r w:rsidR="00DD0840" w:rsidRPr="00A501D5">
        <w:t>.</w:t>
      </w:r>
      <w:r w:rsidR="00A501D5" w:rsidRPr="00A501D5">
        <w:t>2</w:t>
      </w:r>
      <w:r w:rsidR="00DD0840" w:rsidRPr="00A501D5">
        <w:t>% over the previous market peak of late 2007.</w:t>
      </w:r>
    </w:p>
    <w:p w:rsidR="00B60E5D" w:rsidRDefault="00B60E5D" w:rsidP="007537D5">
      <w:pPr>
        <w:spacing w:after="0" w:line="240" w:lineRule="auto"/>
        <w:rPr>
          <w:noProof/>
          <w:lang w:eastAsia="en-NZ"/>
        </w:rPr>
      </w:pPr>
    </w:p>
    <w:p w:rsidR="00F51D7D" w:rsidRDefault="00DD0840" w:rsidP="007537D5">
      <w:pPr>
        <w:spacing w:after="0" w:line="240" w:lineRule="auto"/>
      </w:pPr>
      <w:r w:rsidRPr="00DD0840">
        <w:rPr>
          <w:noProof/>
          <w:lang w:eastAsia="en-NZ"/>
        </w:rPr>
        <w:drawing>
          <wp:inline distT="0" distB="0" distL="0" distR="0">
            <wp:extent cx="5196417" cy="4445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17A4B" w:rsidRPr="000C4DDD" w:rsidRDefault="00717A4B" w:rsidP="007537D5">
      <w:pPr>
        <w:spacing w:after="0" w:line="240" w:lineRule="auto"/>
      </w:pPr>
    </w:p>
    <w:p w:rsidR="00366EA0" w:rsidRPr="00C60752" w:rsidRDefault="00A67FFD" w:rsidP="009C5A76">
      <w:pPr>
        <w:pStyle w:val="NoSpacing"/>
      </w:pPr>
      <w:r w:rsidRPr="00C60752">
        <w:t>Kerry Stewart, QV Operations Manager said</w:t>
      </w:r>
      <w:r w:rsidR="006965AD" w:rsidRPr="00C60752">
        <w:t xml:space="preserve"> </w:t>
      </w:r>
      <w:r w:rsidR="00CD62BB" w:rsidRPr="00C60752">
        <w:t>“</w:t>
      </w:r>
      <w:r w:rsidR="00C60752">
        <w:t>Nationwide values continue to increase although only about half as quickly as they did in the years leading up to the 2007 market peak. Auckland values however are increasing at a faster rate than they did before the previous peak. This shows that so far the strong increase in values is largely constrained to Auckland and Canterbury, with value increases across the rest of the country still largely subdued</w:t>
      </w:r>
      <w:r w:rsidR="00CB0B47">
        <w:t>.”</w:t>
      </w:r>
    </w:p>
    <w:p w:rsidR="00366EA0" w:rsidRPr="00C60752" w:rsidRDefault="00366EA0" w:rsidP="009C5A76">
      <w:pPr>
        <w:pStyle w:val="NoSpacing"/>
      </w:pPr>
    </w:p>
    <w:p w:rsidR="00211D2B" w:rsidRPr="00C60752" w:rsidRDefault="00366EA0" w:rsidP="009C5A76">
      <w:pPr>
        <w:pStyle w:val="NoSpacing"/>
      </w:pPr>
      <w:r w:rsidRPr="00C60752">
        <w:t>“</w:t>
      </w:r>
      <w:r w:rsidR="00C60752">
        <w:t>There is little sign that values will slow in Auckland in the immediate future. The number of properties for sale is continuing to drop while demand remains strong.</w:t>
      </w:r>
      <w:r w:rsidR="00D47D2C">
        <w:t xml:space="preserve"> Christchurch is also suffering from a shortage of stock leading to upward pressure on prices. The rest of the country generally isn’t suffering from such a shortage so value increases are likely to remain modest</w:t>
      </w:r>
      <w:r w:rsidR="00CB0B47">
        <w:t>,</w:t>
      </w:r>
      <w:r w:rsidR="009C5A76" w:rsidRPr="00C60752">
        <w:t>”</w:t>
      </w:r>
      <w:r w:rsidR="00CB0B47">
        <w:t xml:space="preserve"> </w:t>
      </w:r>
      <w:r w:rsidR="00A67FFD" w:rsidRPr="00C60752">
        <w:t>said Stewart</w:t>
      </w:r>
      <w:r w:rsidR="00C76592" w:rsidRPr="00C60752">
        <w:t>.</w:t>
      </w:r>
    </w:p>
    <w:p w:rsidR="00932E37" w:rsidRPr="00C60752" w:rsidRDefault="00932E37" w:rsidP="009C5A76">
      <w:pPr>
        <w:pStyle w:val="NoSpacing"/>
      </w:pPr>
    </w:p>
    <w:p w:rsidR="006450E7" w:rsidRPr="007216CF" w:rsidRDefault="007216CF" w:rsidP="006450E7">
      <w:pPr>
        <w:pStyle w:val="NoSpacing"/>
        <w:rPr>
          <w:b/>
        </w:rPr>
      </w:pPr>
      <w:r w:rsidRPr="007216CF">
        <w:rPr>
          <w:b/>
        </w:rPr>
        <w:t>Auckland</w:t>
      </w:r>
    </w:p>
    <w:p w:rsidR="00242FC2" w:rsidRDefault="00242FC2" w:rsidP="006450E7">
      <w:pPr>
        <w:pStyle w:val="NoSpacing"/>
      </w:pPr>
      <w:r w:rsidRPr="00242FC2">
        <w:t xml:space="preserve">Values </w:t>
      </w:r>
      <w:r w:rsidR="007216CF" w:rsidRPr="00242FC2">
        <w:t xml:space="preserve">across Auckland </w:t>
      </w:r>
      <w:r w:rsidRPr="00242FC2">
        <w:t xml:space="preserve">are still increasing, </w:t>
      </w:r>
      <w:r w:rsidR="00DC7424">
        <w:t>and over the past three months values have accelerated further</w:t>
      </w:r>
      <w:r w:rsidRPr="00242FC2">
        <w:t>.</w:t>
      </w:r>
      <w:r>
        <w:t xml:space="preserve"> Whereas some areas like Rodney and old Auckland city had </w:t>
      </w:r>
      <w:r w:rsidR="00DC7424">
        <w:t xml:space="preserve">slowed a little earlier in the year, </w:t>
      </w:r>
      <w:r>
        <w:lastRenderedPageBreak/>
        <w:t xml:space="preserve">old Auckland City is now leading the way with a 4.7% increase over the past 3 months.  </w:t>
      </w:r>
      <w:proofErr w:type="spellStart"/>
      <w:r>
        <w:t>Waitakere</w:t>
      </w:r>
      <w:proofErr w:type="spellEnd"/>
      <w:r>
        <w:t xml:space="preserve"> and North Shore are close behind though, both seeing 4.6% increases.</w:t>
      </w:r>
    </w:p>
    <w:p w:rsidR="00242FC2" w:rsidRDefault="00242FC2" w:rsidP="006450E7">
      <w:pPr>
        <w:pStyle w:val="NoSpacing"/>
      </w:pPr>
    </w:p>
    <w:p w:rsidR="007216CF" w:rsidRDefault="00242FC2" w:rsidP="006450E7">
      <w:pPr>
        <w:pStyle w:val="NoSpacing"/>
      </w:pPr>
      <w:r>
        <w:t xml:space="preserve">Overall, values </w:t>
      </w:r>
      <w:r w:rsidR="00DC7424">
        <w:t xml:space="preserve">across Auckland </w:t>
      </w:r>
      <w:r>
        <w:t xml:space="preserve">are 12.6% above last year, with </w:t>
      </w:r>
      <w:r w:rsidR="00DC7424">
        <w:t xml:space="preserve">North Shore, </w:t>
      </w:r>
      <w:proofErr w:type="spellStart"/>
      <w:r w:rsidR="00DC7424">
        <w:t>Waitakere</w:t>
      </w:r>
      <w:proofErr w:type="spellEnd"/>
      <w:r w:rsidR="00DC7424">
        <w:t xml:space="preserve"> and old Auckland City increasing by 13.2 – 13.4% while Rodney and </w:t>
      </w:r>
      <w:proofErr w:type="spellStart"/>
      <w:r w:rsidR="00DC7424">
        <w:t>Papakura</w:t>
      </w:r>
      <w:proofErr w:type="spellEnd"/>
      <w:r w:rsidR="00DC7424">
        <w:t xml:space="preserve"> increased at just over 9%</w:t>
      </w:r>
      <w:r>
        <w:t>.</w:t>
      </w:r>
    </w:p>
    <w:p w:rsidR="00242FC2" w:rsidRDefault="00242FC2" w:rsidP="006450E7">
      <w:pPr>
        <w:pStyle w:val="NoSpacing"/>
      </w:pPr>
    </w:p>
    <w:p w:rsidR="00A73D0E" w:rsidRDefault="0004514C" w:rsidP="006450E7">
      <w:pPr>
        <w:pStyle w:val="NoSpacing"/>
      </w:pPr>
      <w:r w:rsidRPr="00A73D0E">
        <w:t xml:space="preserve">QV </w:t>
      </w:r>
      <w:r w:rsidR="006B4912" w:rsidRPr="00A73D0E">
        <w:t xml:space="preserve">Operations Manager </w:t>
      </w:r>
      <w:r w:rsidR="00BC211A" w:rsidRPr="00A73D0E">
        <w:t>Kerry Stewart</w:t>
      </w:r>
      <w:r w:rsidRPr="00A73D0E">
        <w:t xml:space="preserve"> said</w:t>
      </w:r>
      <w:r>
        <w:t xml:space="preserve"> </w:t>
      </w:r>
      <w:r w:rsidR="00910438">
        <w:t>“</w:t>
      </w:r>
      <w:r w:rsidR="00785E5A">
        <w:t xml:space="preserve">With buyers still searching for reasonably priced property, South Auckland seems to </w:t>
      </w:r>
      <w:r w:rsidR="008E5FFD">
        <w:t xml:space="preserve">be </w:t>
      </w:r>
      <w:r w:rsidR="00785E5A">
        <w:t xml:space="preserve">becoming more attractive.  </w:t>
      </w:r>
      <w:r w:rsidR="00E537E2">
        <w:t>The lower end of the market here remains around $300,000, making it affordable for buyers</w:t>
      </w:r>
      <w:r w:rsidR="003F0CF6" w:rsidRPr="00CE209B">
        <w:t>.</w:t>
      </w:r>
      <w:r w:rsidR="00785E5A">
        <w:t xml:space="preserve">  This is particularly driven by values in west Auckland increasing.</w:t>
      </w:r>
      <w:r w:rsidR="00A73D0E" w:rsidRPr="00CE209B">
        <w:t>”</w:t>
      </w:r>
    </w:p>
    <w:p w:rsidR="00A73D0E" w:rsidRDefault="00A73D0E" w:rsidP="006450E7">
      <w:pPr>
        <w:pStyle w:val="NoSpacing"/>
      </w:pPr>
    </w:p>
    <w:p w:rsidR="00640591" w:rsidRDefault="00640591" w:rsidP="006450E7">
      <w:pPr>
        <w:pStyle w:val="NoSpacing"/>
      </w:pPr>
      <w:r>
        <w:t>“</w:t>
      </w:r>
      <w:r w:rsidR="00785E5A">
        <w:t xml:space="preserve">Property speculators are becoming more prominent also, especially in </w:t>
      </w:r>
      <w:proofErr w:type="spellStart"/>
      <w:r w:rsidR="00785E5A">
        <w:t>Otara</w:t>
      </w:r>
      <w:proofErr w:type="spellEnd"/>
      <w:r w:rsidR="00785E5A">
        <w:t xml:space="preserve">, </w:t>
      </w:r>
      <w:proofErr w:type="spellStart"/>
      <w:r w:rsidR="00785E5A">
        <w:t>Otahuhu</w:t>
      </w:r>
      <w:proofErr w:type="spellEnd"/>
      <w:r w:rsidR="00785E5A">
        <w:t xml:space="preserve">, </w:t>
      </w:r>
      <w:proofErr w:type="spellStart"/>
      <w:r w:rsidR="00785E5A">
        <w:t>Manurewa</w:t>
      </w:r>
      <w:proofErr w:type="spellEnd"/>
      <w:r w:rsidR="00785E5A">
        <w:t xml:space="preserve"> and parts of </w:t>
      </w:r>
      <w:proofErr w:type="spellStart"/>
      <w:proofErr w:type="gramStart"/>
      <w:r w:rsidR="00785E5A">
        <w:t>Manukau</w:t>
      </w:r>
      <w:proofErr w:type="spellEnd"/>
      <w:r w:rsidR="00785E5A">
        <w:t>,</w:t>
      </w:r>
      <w:proofErr w:type="gramEnd"/>
      <w:r w:rsidR="00785E5A">
        <w:t xml:space="preserve"> and throughout the west investors and first home buyers appear to be upgrading,</w:t>
      </w:r>
      <w:r w:rsidR="00A73D0E" w:rsidRPr="00A73D0E">
        <w:t>”</w:t>
      </w:r>
      <w:r w:rsidR="00E872CA">
        <w:t xml:space="preserve"> </w:t>
      </w:r>
      <w:r w:rsidR="00A67FFD">
        <w:t>he</w:t>
      </w:r>
      <w:r w:rsidRPr="00A73D0E">
        <w:t xml:space="preserve"> </w:t>
      </w:r>
      <w:r w:rsidR="00A67FFD">
        <w:t>said</w:t>
      </w:r>
      <w:r w:rsidRPr="00A73D0E">
        <w:t>.</w:t>
      </w:r>
    </w:p>
    <w:p w:rsidR="00785E5A" w:rsidRDefault="00785E5A" w:rsidP="006450E7">
      <w:pPr>
        <w:pStyle w:val="NoSpacing"/>
      </w:pPr>
    </w:p>
    <w:p w:rsidR="00785E5A" w:rsidRDefault="00785E5A" w:rsidP="006450E7">
      <w:pPr>
        <w:pStyle w:val="NoSpacing"/>
      </w:pPr>
      <w:r>
        <w:t xml:space="preserve">“With a lack of supply still causing headaches for some buyers, some large scale developments in the west and block land starting to get developed are </w:t>
      </w:r>
      <w:r w:rsidR="00B30C15">
        <w:t>being talked about as having the potential to relax the market somewhat</w:t>
      </w:r>
      <w:r>
        <w:t>,” said Stewart.</w:t>
      </w:r>
    </w:p>
    <w:p w:rsidR="007216CF" w:rsidRDefault="007216CF" w:rsidP="003B26B2">
      <w:pPr>
        <w:pStyle w:val="NoSpacing"/>
      </w:pPr>
    </w:p>
    <w:p w:rsidR="007216CF" w:rsidRDefault="00EE32B5" w:rsidP="003B26B2">
      <w:pPr>
        <w:pStyle w:val="NoSpacing"/>
        <w:rPr>
          <w:b/>
        </w:rPr>
      </w:pPr>
      <w:r>
        <w:rPr>
          <w:b/>
        </w:rPr>
        <w:t>Hamilton and Tauranga</w:t>
      </w:r>
    </w:p>
    <w:p w:rsidR="00A2187B" w:rsidRDefault="006450E7" w:rsidP="009226A6">
      <w:pPr>
        <w:pStyle w:val="NoSpacing"/>
      </w:pPr>
      <w:r w:rsidRPr="00967FB0">
        <w:t>Outside of Auckland</w:t>
      </w:r>
      <w:r w:rsidR="00967FB0" w:rsidRPr="00967FB0">
        <w:t>,</w:t>
      </w:r>
      <w:r w:rsidR="00A2187B">
        <w:t xml:space="preserve"> most of the other </w:t>
      </w:r>
      <w:r w:rsidR="00967FB0" w:rsidRPr="00967FB0">
        <w:t xml:space="preserve">main centres are </w:t>
      </w:r>
      <w:r w:rsidR="00A2187B">
        <w:t>also increasing but at a much slower rate</w:t>
      </w:r>
      <w:r w:rsidR="00753162" w:rsidRPr="00967FB0">
        <w:t xml:space="preserve">.  </w:t>
      </w:r>
      <w:r w:rsidR="00967FB0" w:rsidRPr="00967FB0">
        <w:t xml:space="preserve">Hamilton </w:t>
      </w:r>
      <w:r w:rsidR="00A2187B">
        <w:t xml:space="preserve">values are up </w:t>
      </w:r>
      <w:r w:rsidR="00967FB0" w:rsidRPr="00967FB0">
        <w:t>1.1% over the last three months</w:t>
      </w:r>
      <w:r w:rsidR="00A2187B">
        <w:t>, and 3.9% over the past year</w:t>
      </w:r>
      <w:r w:rsidR="00967FB0" w:rsidRPr="00967FB0">
        <w:t>.</w:t>
      </w:r>
    </w:p>
    <w:p w:rsidR="00967FB0" w:rsidRDefault="00A2187B" w:rsidP="009226A6">
      <w:pPr>
        <w:pStyle w:val="NoSpacing"/>
        <w:rPr>
          <w:highlight w:val="yellow"/>
        </w:rPr>
      </w:pPr>
      <w:r>
        <w:rPr>
          <w:highlight w:val="yellow"/>
        </w:rPr>
        <w:t xml:space="preserve"> </w:t>
      </w:r>
    </w:p>
    <w:p w:rsidR="00967FB0" w:rsidRDefault="00967FB0" w:rsidP="00967FB0">
      <w:pPr>
        <w:pStyle w:val="NoSpacing"/>
      </w:pPr>
      <w:r>
        <w:t>QV Valuer Richard Allen said “There appears to be no seasonal slowdown</w:t>
      </w:r>
      <w:r w:rsidR="00862FED">
        <w:t xml:space="preserve"> in activity</w:t>
      </w:r>
      <w:r>
        <w:t xml:space="preserve"> as winter takes hold.  We expect the steady increase in values to continue with the market quite even in relation to supply and demand.”</w:t>
      </w:r>
    </w:p>
    <w:p w:rsidR="00967FB0" w:rsidRDefault="00967FB0" w:rsidP="009226A6">
      <w:pPr>
        <w:pStyle w:val="NoSpacing"/>
      </w:pPr>
    </w:p>
    <w:p w:rsidR="00967FB0" w:rsidRPr="00967FB0" w:rsidRDefault="00967FB0" w:rsidP="00967FB0">
      <w:pPr>
        <w:pStyle w:val="NoSpacing"/>
      </w:pPr>
      <w:r w:rsidRPr="00967FB0">
        <w:t>Tauranga continues to fluctuate, with values now 0.5% below this time last year.</w:t>
      </w:r>
      <w:r>
        <w:t xml:space="preserve">  However, there has been a 0.2% increase over the past three months.</w:t>
      </w:r>
    </w:p>
    <w:p w:rsidR="00967FB0" w:rsidRDefault="00967FB0" w:rsidP="00967FB0">
      <w:pPr>
        <w:pStyle w:val="NoSpacing"/>
        <w:rPr>
          <w:highlight w:val="yellow"/>
        </w:rPr>
      </w:pPr>
    </w:p>
    <w:p w:rsidR="008F7C63" w:rsidRDefault="00A800BB" w:rsidP="003B26B2">
      <w:pPr>
        <w:pStyle w:val="NoSpacing"/>
      </w:pPr>
      <w:r>
        <w:t>QV Valuer Paul Thomas said “</w:t>
      </w:r>
      <w:r w:rsidR="00CA06D3">
        <w:t>More and more first home buyers are entering the market and choosing to purchase instead of rent</w:t>
      </w:r>
      <w:r w:rsidR="003F0CF6">
        <w:t>.</w:t>
      </w:r>
      <w:r w:rsidR="00CA06D3">
        <w:t xml:space="preserve">  This is despite a lack of supply caused by vendors who are happy to stay put at this time of the year. </w:t>
      </w:r>
      <w:r w:rsidR="003F0CF6">
        <w:t>”</w:t>
      </w:r>
    </w:p>
    <w:p w:rsidR="00CA06D3" w:rsidRDefault="00CA06D3" w:rsidP="003B26B2">
      <w:pPr>
        <w:pStyle w:val="NoSpacing"/>
      </w:pPr>
    </w:p>
    <w:p w:rsidR="00EE32B5" w:rsidRPr="00EE32B5" w:rsidRDefault="00EE32B5" w:rsidP="003B26B2">
      <w:pPr>
        <w:pStyle w:val="NoSpacing"/>
        <w:rPr>
          <w:b/>
        </w:rPr>
      </w:pPr>
      <w:r>
        <w:rPr>
          <w:b/>
        </w:rPr>
        <w:t>Wellington</w:t>
      </w:r>
    </w:p>
    <w:p w:rsidR="00E04AD2" w:rsidRPr="00106CB2" w:rsidRDefault="009226A6" w:rsidP="003B26B2">
      <w:pPr>
        <w:pStyle w:val="NoSpacing"/>
      </w:pPr>
      <w:r w:rsidRPr="00106CB2">
        <w:t xml:space="preserve">Values in the </w:t>
      </w:r>
      <w:r w:rsidR="0093688D" w:rsidRPr="00106CB2">
        <w:t>Wellington</w:t>
      </w:r>
      <w:r w:rsidR="00050256" w:rsidRPr="00106CB2">
        <w:t xml:space="preserve"> </w:t>
      </w:r>
      <w:r w:rsidR="00862FED">
        <w:t xml:space="preserve">area </w:t>
      </w:r>
      <w:r w:rsidR="00FD7D61" w:rsidRPr="00106CB2">
        <w:t xml:space="preserve">continue on a slow and </w:t>
      </w:r>
      <w:r w:rsidR="00106CB2" w:rsidRPr="00106CB2">
        <w:t>steady</w:t>
      </w:r>
      <w:r w:rsidR="00FD7D61" w:rsidRPr="00106CB2">
        <w:t xml:space="preserve"> path.  Values are 2.6</w:t>
      </w:r>
      <w:r w:rsidR="0093688D" w:rsidRPr="00106CB2">
        <w:t>%</w:t>
      </w:r>
      <w:r w:rsidR="00050256" w:rsidRPr="00106CB2">
        <w:t xml:space="preserve"> above this time last year</w:t>
      </w:r>
      <w:r w:rsidR="00FD7D61" w:rsidRPr="00106CB2">
        <w:t xml:space="preserve"> with a 0.6</w:t>
      </w:r>
      <w:r w:rsidR="005A1830" w:rsidRPr="00106CB2">
        <w:t>%</w:t>
      </w:r>
      <w:r w:rsidR="00BF493B" w:rsidRPr="00106CB2">
        <w:t xml:space="preserve"> growth in the last 3 months</w:t>
      </w:r>
      <w:r w:rsidR="00050256" w:rsidRPr="00106CB2">
        <w:t>.</w:t>
      </w:r>
      <w:r w:rsidR="00E73E44" w:rsidRPr="00106CB2">
        <w:t xml:space="preserve"> Wellington Ci</w:t>
      </w:r>
      <w:r w:rsidR="00FD7D61" w:rsidRPr="00106CB2">
        <w:t>ty, Hutt City and Upper Hutt</w:t>
      </w:r>
      <w:r w:rsidR="00E73E44" w:rsidRPr="00106CB2">
        <w:t xml:space="preserve"> have</w:t>
      </w:r>
      <w:r w:rsidR="00FD7D61" w:rsidRPr="00106CB2">
        <w:t xml:space="preserve"> all picked up slightly, each</w:t>
      </w:r>
      <w:r w:rsidR="00E73E44" w:rsidRPr="00106CB2">
        <w:t xml:space="preserve"> around 2</w:t>
      </w:r>
      <w:r w:rsidR="00FD7D61" w:rsidRPr="00106CB2">
        <w:t>.6-2.8</w:t>
      </w:r>
      <w:r w:rsidR="00E73E44" w:rsidRPr="00106CB2">
        <w:t xml:space="preserve">% </w:t>
      </w:r>
      <w:r w:rsidR="00FD7D61" w:rsidRPr="00106CB2">
        <w:t xml:space="preserve">up on last year.  </w:t>
      </w:r>
      <w:proofErr w:type="spellStart"/>
      <w:r w:rsidR="00E73E44" w:rsidRPr="00106CB2">
        <w:t>Porirua</w:t>
      </w:r>
      <w:proofErr w:type="spellEnd"/>
      <w:r w:rsidR="00E73E44" w:rsidRPr="00106CB2">
        <w:t xml:space="preserve"> </w:t>
      </w:r>
      <w:r w:rsidR="00FD7D61" w:rsidRPr="00106CB2">
        <w:t>still remains the area with the highest increase, with values up 3</w:t>
      </w:r>
      <w:r w:rsidR="00E73E44" w:rsidRPr="00106CB2">
        <w:t>.</w:t>
      </w:r>
      <w:r w:rsidR="00FD7D61" w:rsidRPr="00106CB2">
        <w:t>6</w:t>
      </w:r>
      <w:r w:rsidR="005A1830" w:rsidRPr="00106CB2">
        <w:t>%</w:t>
      </w:r>
      <w:r w:rsidR="00FD7D61" w:rsidRPr="00106CB2">
        <w:t xml:space="preserve"> annually</w:t>
      </w:r>
      <w:r w:rsidR="004024A6" w:rsidRPr="00106CB2">
        <w:t>.</w:t>
      </w:r>
    </w:p>
    <w:p w:rsidR="004024A6" w:rsidRDefault="004024A6" w:rsidP="003B26B2">
      <w:pPr>
        <w:pStyle w:val="NoSpacing"/>
      </w:pPr>
    </w:p>
    <w:p w:rsidR="00D82313" w:rsidRDefault="009226A6" w:rsidP="004024A6">
      <w:pPr>
        <w:pStyle w:val="NoSpacing"/>
        <w:rPr>
          <w:rFonts w:cstheme="minorHAnsi"/>
        </w:rPr>
      </w:pPr>
      <w:r w:rsidRPr="004024A6">
        <w:rPr>
          <w:rFonts w:cstheme="minorHAnsi"/>
        </w:rPr>
        <w:t xml:space="preserve">QV Valuer </w:t>
      </w:r>
      <w:r w:rsidR="00A67FFD" w:rsidRPr="004024A6">
        <w:t xml:space="preserve">Kerry </w:t>
      </w:r>
      <w:r w:rsidR="00A67FFD">
        <w:t xml:space="preserve">Buckeridge </w:t>
      </w:r>
      <w:r w:rsidRPr="004024A6">
        <w:rPr>
          <w:rFonts w:cstheme="minorHAnsi"/>
        </w:rPr>
        <w:t>said</w:t>
      </w:r>
      <w:r w:rsidR="004024A6" w:rsidRPr="004024A6">
        <w:rPr>
          <w:rFonts w:cstheme="minorHAnsi"/>
        </w:rPr>
        <w:t xml:space="preserve"> “</w:t>
      </w:r>
      <w:r w:rsidR="004A26B4">
        <w:rPr>
          <w:rFonts w:cstheme="minorHAnsi"/>
        </w:rPr>
        <w:t>The market continues to show modest improvements even though sales appear to be down.  This is generally due to a lack of listings as opposed to a lack of demand</w:t>
      </w:r>
      <w:r w:rsidR="00D257E4">
        <w:rPr>
          <w:rFonts w:cstheme="minorHAnsi"/>
        </w:rPr>
        <w:t>.</w:t>
      </w:r>
      <w:r w:rsidR="004A26B4">
        <w:rPr>
          <w:rFonts w:cstheme="minorHAnsi"/>
        </w:rPr>
        <w:t xml:space="preserve">  We have seen some well presented, completely renovated and low maintenance homes that are close to the city achieving sales prices far beyond what was expected.  There also appears to be good interest in the higher end of the market, around the $1-1.5 million mark.</w:t>
      </w:r>
      <w:r w:rsidR="00D257E4">
        <w:rPr>
          <w:rFonts w:cstheme="minorHAnsi"/>
        </w:rPr>
        <w:t>”</w:t>
      </w:r>
    </w:p>
    <w:p w:rsidR="004A26B4" w:rsidRDefault="004A26B4" w:rsidP="004024A6">
      <w:pPr>
        <w:pStyle w:val="NoSpacing"/>
        <w:rPr>
          <w:rFonts w:cstheme="minorHAnsi"/>
        </w:rPr>
      </w:pPr>
    </w:p>
    <w:p w:rsidR="00A83774" w:rsidRPr="00A83774" w:rsidRDefault="00A83774" w:rsidP="003B26B2">
      <w:pPr>
        <w:pStyle w:val="NoSpacing"/>
        <w:rPr>
          <w:rFonts w:cstheme="minorHAnsi"/>
          <w:b/>
        </w:rPr>
      </w:pPr>
      <w:r>
        <w:rPr>
          <w:rFonts w:cstheme="minorHAnsi"/>
          <w:b/>
        </w:rPr>
        <w:t>Christchurch and Dunedin</w:t>
      </w:r>
    </w:p>
    <w:p w:rsidR="00424A76" w:rsidRDefault="0093688D" w:rsidP="003B26B2">
      <w:pPr>
        <w:pStyle w:val="NoSpacing"/>
      </w:pPr>
      <w:r w:rsidRPr="00106CB2">
        <w:t xml:space="preserve">Christchurch </w:t>
      </w:r>
      <w:r w:rsidR="00050256" w:rsidRPr="00106CB2">
        <w:t xml:space="preserve">values </w:t>
      </w:r>
      <w:r w:rsidR="00730A84" w:rsidRPr="00106CB2">
        <w:t xml:space="preserve">have </w:t>
      </w:r>
      <w:r w:rsidR="00106CB2" w:rsidRPr="00106CB2">
        <w:t>continued to rise</w:t>
      </w:r>
      <w:r w:rsidR="00862FED">
        <w:t xml:space="preserve">, and with a 10.4% increase over the past year is only a little behind Auckland. </w:t>
      </w:r>
      <w:r w:rsidR="00424A76">
        <w:t>Values in Selwyn have increased 10.6% over the past year, slightly more than Christchurch, although over the past three months the rate has been slower than Christchurch. Values have slowed their increase considerably over the past year to be only 5.7% up.</w:t>
      </w:r>
    </w:p>
    <w:p w:rsidR="00730A84" w:rsidRDefault="00424A76" w:rsidP="003B26B2">
      <w:pPr>
        <w:pStyle w:val="NoSpacing"/>
      </w:pPr>
      <w:r>
        <w:lastRenderedPageBreak/>
        <w:t xml:space="preserve"> </w:t>
      </w:r>
    </w:p>
    <w:p w:rsidR="00E4544C" w:rsidRDefault="00050256" w:rsidP="003B26B2">
      <w:pPr>
        <w:pStyle w:val="NoSpacing"/>
      </w:pPr>
      <w:r>
        <w:t>QV Valuer Daryl Taggart said “</w:t>
      </w:r>
      <w:r w:rsidR="00343A64">
        <w:t>Values in Christchurch continue to rise as we see more hype around the property market in the city particularly.  This is also translating to more investors showing interest in the market</w:t>
      </w:r>
      <w:r w:rsidR="00777C50">
        <w:t>.</w:t>
      </w:r>
      <w:r w:rsidR="00E4544C">
        <w:t>”</w:t>
      </w:r>
    </w:p>
    <w:p w:rsidR="00343A64" w:rsidRDefault="00343A64" w:rsidP="003B26B2">
      <w:pPr>
        <w:pStyle w:val="NoSpacing"/>
      </w:pPr>
    </w:p>
    <w:p w:rsidR="00343A64" w:rsidRDefault="00343A64" w:rsidP="003B26B2">
      <w:pPr>
        <w:pStyle w:val="NoSpacing"/>
      </w:pPr>
      <w:r>
        <w:t>“Whereas outlying areas, such as Waimakariri and Selwyn, were growing much faster than Christchurch itself,</w:t>
      </w:r>
      <w:r w:rsidR="00424A76">
        <w:t xml:space="preserve"> but in recent months t</w:t>
      </w:r>
      <w:r>
        <w:t>he reverse</w:t>
      </w:r>
      <w:r w:rsidR="00654470">
        <w:t xml:space="preserve"> seems to be </w:t>
      </w:r>
      <w:r w:rsidR="005D3C5E">
        <w:t>occurring</w:t>
      </w:r>
      <w:r>
        <w:t>.  Sales in Waimakariri have levelled out, although more land being developed in Selwyn could see some extra interest there.</w:t>
      </w:r>
    </w:p>
    <w:p w:rsidR="00343A64" w:rsidRDefault="00343A64" w:rsidP="003B26B2">
      <w:pPr>
        <w:pStyle w:val="NoSpacing"/>
      </w:pPr>
    </w:p>
    <w:p w:rsidR="00E4544C" w:rsidRDefault="0093688D" w:rsidP="003B26B2">
      <w:pPr>
        <w:pStyle w:val="NoSpacing"/>
      </w:pPr>
      <w:r w:rsidRPr="004C0C1F">
        <w:t xml:space="preserve">Dunedin </w:t>
      </w:r>
      <w:r w:rsidR="00FF73C7" w:rsidRPr="004C0C1F">
        <w:t xml:space="preserve">has </w:t>
      </w:r>
      <w:r w:rsidR="004C0C1F" w:rsidRPr="004C0C1F">
        <w:t>remained steady</w:t>
      </w:r>
      <w:r w:rsidR="00FF73C7" w:rsidRPr="004C0C1F">
        <w:t xml:space="preserve">, with </w:t>
      </w:r>
      <w:r w:rsidR="004C0C1F" w:rsidRPr="004C0C1F">
        <w:t>a 0.4</w:t>
      </w:r>
      <w:r w:rsidR="00FF73C7" w:rsidRPr="004C0C1F">
        <w:t xml:space="preserve">% increase over the past three months.  Values </w:t>
      </w:r>
      <w:r w:rsidR="004C0C1F" w:rsidRPr="004C0C1F">
        <w:t>are 4</w:t>
      </w:r>
      <w:r w:rsidR="00FF73C7" w:rsidRPr="004C0C1F">
        <w:t>% above last year.</w:t>
      </w:r>
      <w:r w:rsidR="00FF73C7">
        <w:t xml:space="preserve"> </w:t>
      </w:r>
    </w:p>
    <w:p w:rsidR="00FF73C7" w:rsidRDefault="00FF73C7" w:rsidP="003B26B2">
      <w:pPr>
        <w:pStyle w:val="NoSpacing"/>
      </w:pPr>
    </w:p>
    <w:p w:rsidR="00E4544C" w:rsidRPr="00975B4F" w:rsidRDefault="00E4544C" w:rsidP="00975B4F">
      <w:pPr>
        <w:pStyle w:val="NoSpacing"/>
      </w:pPr>
      <w:r w:rsidRPr="00975B4F">
        <w:t>QV Valuer Tim Gibson said “</w:t>
      </w:r>
      <w:r w:rsidR="00975B4F">
        <w:rPr>
          <w:shd w:val="clear" w:color="auto" w:fill="FFFFFF"/>
        </w:rPr>
        <w:t>After what has</w:t>
      </w:r>
      <w:r w:rsidR="00975B4F" w:rsidRPr="00975B4F">
        <w:rPr>
          <w:shd w:val="clear" w:color="auto" w:fill="FFFFFF"/>
        </w:rPr>
        <w:t xml:space="preserve"> been a promising first half of the year, property values have stabilised this month.  However, there is still good demand for properties in the lower to mid price bracket with multi-offers prevalent</w:t>
      </w:r>
      <w:r w:rsidRPr="00975B4F">
        <w:t>.”</w:t>
      </w:r>
    </w:p>
    <w:p w:rsidR="006450E7" w:rsidRPr="00717A4B" w:rsidRDefault="006450E7" w:rsidP="003B26B2">
      <w:pPr>
        <w:pStyle w:val="NoSpacing"/>
        <w:rPr>
          <w:highlight w:val="yellow"/>
        </w:rPr>
      </w:pPr>
    </w:p>
    <w:p w:rsidR="00566A54" w:rsidRPr="00DB672A" w:rsidRDefault="00566A54" w:rsidP="007537D5">
      <w:pPr>
        <w:spacing w:after="0" w:line="240" w:lineRule="auto"/>
        <w:rPr>
          <w:b/>
        </w:rPr>
      </w:pPr>
      <w:r w:rsidRPr="00DB672A">
        <w:rPr>
          <w:b/>
        </w:rPr>
        <w:t>Provincial centres</w:t>
      </w:r>
    </w:p>
    <w:p w:rsidR="005D3C5E" w:rsidRPr="005D3C5E" w:rsidRDefault="005D3C5E" w:rsidP="003B0F17">
      <w:pPr>
        <w:spacing w:after="0" w:line="240" w:lineRule="auto"/>
      </w:pPr>
      <w:r w:rsidRPr="005D3C5E">
        <w:t xml:space="preserve">The provincial centres </w:t>
      </w:r>
      <w:r>
        <w:t xml:space="preserve">are seeing some gains, with previously slow or declining areas now picking up.  This is seen in areas such as Gisborne, which has increased 2% over the past three months, and Whangerei, which has increased 2.5%.  In the North Island, areas like </w:t>
      </w:r>
      <w:proofErr w:type="spellStart"/>
      <w:r>
        <w:t>Taupo</w:t>
      </w:r>
      <w:proofErr w:type="spellEnd"/>
      <w:r>
        <w:t xml:space="preserve">, Bay of Plenty and </w:t>
      </w:r>
      <w:proofErr w:type="spellStart"/>
      <w:r>
        <w:t>Rotorua</w:t>
      </w:r>
      <w:proofErr w:type="spellEnd"/>
      <w:r>
        <w:t xml:space="preserve"> have seen slight declines over the past three months, but in the South Island it is mainly only around Gore and Invercargill where we have seen decrease in values.</w:t>
      </w:r>
    </w:p>
    <w:p w:rsidR="005D3C5E" w:rsidRDefault="005D3C5E" w:rsidP="003B0F17">
      <w:pPr>
        <w:spacing w:after="0" w:line="240" w:lineRule="auto"/>
        <w:rPr>
          <w:highlight w:val="yellow"/>
        </w:rPr>
      </w:pPr>
    </w:p>
    <w:p w:rsidR="00442230" w:rsidRDefault="00442230" w:rsidP="00C82F35">
      <w:pPr>
        <w:spacing w:after="0" w:line="240" w:lineRule="auto"/>
        <w:jc w:val="both"/>
        <w:rPr>
          <w:b/>
          <w:bCs/>
          <w:lang w:val="en-GB"/>
        </w:rPr>
      </w:pPr>
      <w:r w:rsidRPr="00F53C93">
        <w:rPr>
          <w:b/>
          <w:bCs/>
          <w:lang w:val="en-GB"/>
        </w:rPr>
        <w:t xml:space="preserve">For </w:t>
      </w:r>
      <w:r w:rsidR="0056099F">
        <w:rPr>
          <w:b/>
          <w:bCs/>
          <w:lang w:val="en-GB"/>
        </w:rPr>
        <w:t>media enquiries and interview</w:t>
      </w:r>
      <w:r w:rsidR="00F57C27">
        <w:rPr>
          <w:b/>
          <w:bCs/>
          <w:lang w:val="en-GB"/>
        </w:rPr>
        <w:t>s</w:t>
      </w:r>
      <w:r w:rsidR="0056099F">
        <w:rPr>
          <w:b/>
          <w:bCs/>
          <w:lang w:val="en-GB"/>
        </w:rPr>
        <w:t xml:space="preserve">, and for </w:t>
      </w:r>
      <w:r w:rsidRPr="00F53C93">
        <w:rPr>
          <w:b/>
          <w:bCs/>
          <w:lang w:val="en-GB"/>
        </w:rPr>
        <w:t>further information contact:</w:t>
      </w:r>
    </w:p>
    <w:p w:rsidR="00A67FFD" w:rsidRDefault="00A67FFD" w:rsidP="00A67FFD">
      <w:pPr>
        <w:spacing w:after="0" w:line="240" w:lineRule="auto"/>
        <w:jc w:val="both"/>
        <w:rPr>
          <w:lang w:val="en-GB"/>
        </w:rPr>
      </w:pPr>
      <w:r>
        <w:rPr>
          <w:lang w:val="en-GB"/>
        </w:rPr>
        <w:t>Kerry Stewart</w:t>
      </w:r>
    </w:p>
    <w:p w:rsidR="00A67FFD" w:rsidRDefault="00A67FFD" w:rsidP="00A67FFD">
      <w:pPr>
        <w:spacing w:after="0" w:line="240" w:lineRule="auto"/>
        <w:jc w:val="both"/>
        <w:rPr>
          <w:lang w:val="en-GB"/>
        </w:rPr>
      </w:pPr>
      <w:r>
        <w:rPr>
          <w:lang w:val="en-GB"/>
        </w:rPr>
        <w:t>QV Operations Manager</w:t>
      </w:r>
    </w:p>
    <w:p w:rsidR="00A67FFD" w:rsidRPr="004D57C7" w:rsidRDefault="00A67FFD" w:rsidP="00A67FFD">
      <w:pPr>
        <w:tabs>
          <w:tab w:val="left" w:pos="4820"/>
        </w:tabs>
        <w:spacing w:after="0" w:line="240" w:lineRule="auto"/>
        <w:rPr>
          <w:b/>
        </w:rPr>
      </w:pPr>
      <w:r w:rsidRPr="006808EA">
        <w:rPr>
          <w:lang w:val="en-GB"/>
        </w:rPr>
        <w:t>Tel: 09 361 4240</w:t>
      </w:r>
      <w:r>
        <w:tab/>
      </w:r>
    </w:p>
    <w:p w:rsidR="00A67FFD" w:rsidRDefault="00A67FFD" w:rsidP="00A67FFD">
      <w:pPr>
        <w:tabs>
          <w:tab w:val="left" w:pos="4962"/>
        </w:tabs>
        <w:spacing w:after="0" w:line="240" w:lineRule="auto"/>
      </w:pPr>
      <w:r>
        <w:rPr>
          <w:lang w:val="en-GB"/>
        </w:rPr>
        <w:t xml:space="preserve">Mobile: </w:t>
      </w:r>
      <w:r w:rsidRPr="006777FE">
        <w:t>021 387 106</w:t>
      </w:r>
      <w:r>
        <w:tab/>
      </w:r>
    </w:p>
    <w:p w:rsidR="00A67FFD" w:rsidRDefault="00A67FFD" w:rsidP="00A67FFD">
      <w:pPr>
        <w:tabs>
          <w:tab w:val="left" w:pos="4962"/>
        </w:tabs>
        <w:spacing w:after="0" w:line="240" w:lineRule="auto"/>
        <w:rPr>
          <w:lang w:val="en-GB"/>
        </w:rPr>
      </w:pPr>
      <w:r>
        <w:rPr>
          <w:lang w:val="en-GB"/>
        </w:rPr>
        <w:t xml:space="preserve">Email: </w:t>
      </w:r>
      <w:hyperlink r:id="rId7" w:history="1">
        <w:r w:rsidRPr="002B6802">
          <w:rPr>
            <w:rStyle w:val="Hyperlink"/>
            <w:lang w:val="en-GB"/>
          </w:rPr>
          <w:t>Kerry.stewart@qv.co.nz</w:t>
        </w:r>
      </w:hyperlink>
      <w:r>
        <w:rPr>
          <w:lang w:val="en-GB"/>
        </w:rPr>
        <w:t xml:space="preserve"> </w:t>
      </w:r>
    </w:p>
    <w:p w:rsidR="007537D5" w:rsidRDefault="007537D5" w:rsidP="00560ADE">
      <w:pPr>
        <w:tabs>
          <w:tab w:val="left" w:pos="4962"/>
        </w:tabs>
        <w:spacing w:after="0" w:line="240" w:lineRule="auto"/>
      </w:pPr>
      <w:r>
        <w:tab/>
      </w:r>
    </w:p>
    <w:p w:rsidR="00560ADE" w:rsidRDefault="00560ADE" w:rsidP="007537D5">
      <w:pPr>
        <w:tabs>
          <w:tab w:val="left" w:pos="4962"/>
        </w:tabs>
        <w:spacing w:after="0" w:line="240" w:lineRule="auto"/>
        <w:rPr>
          <w:b/>
        </w:rPr>
      </w:pPr>
    </w:p>
    <w:p w:rsidR="007537D5" w:rsidRDefault="004D57C7" w:rsidP="007537D5">
      <w:pPr>
        <w:tabs>
          <w:tab w:val="left" w:pos="4962"/>
        </w:tabs>
        <w:spacing w:after="0" w:line="240" w:lineRule="auto"/>
      </w:pPr>
      <w:r w:rsidRPr="004D57C7">
        <w:rPr>
          <w:b/>
        </w:rPr>
        <w:t>For further specific comment on local areas:</w:t>
      </w:r>
      <w:r w:rsidR="007537D5">
        <w:tab/>
      </w:r>
    </w:p>
    <w:p w:rsidR="007537D5" w:rsidRDefault="004D57C7" w:rsidP="007537D5">
      <w:pPr>
        <w:tabs>
          <w:tab w:val="left" w:pos="4962"/>
        </w:tabs>
        <w:spacing w:after="0" w:line="240" w:lineRule="auto"/>
      </w:pPr>
      <w:r>
        <w:t xml:space="preserve">Auckland. </w:t>
      </w:r>
      <w:r w:rsidR="00BC211A">
        <w:t xml:space="preserve">Kerry </w:t>
      </w:r>
      <w:r w:rsidR="00BC211A" w:rsidRPr="006777FE">
        <w:t>Stewart</w:t>
      </w:r>
      <w:r w:rsidR="006104B0" w:rsidRPr="006777FE">
        <w:t xml:space="preserve"> </w:t>
      </w:r>
      <w:r w:rsidRPr="006777FE">
        <w:t>02</w:t>
      </w:r>
      <w:r w:rsidR="004A51A4" w:rsidRPr="006777FE">
        <w:t>1</w:t>
      </w:r>
      <w:r w:rsidRPr="006777FE">
        <w:t xml:space="preserve"> </w:t>
      </w:r>
      <w:r w:rsidR="004A51A4" w:rsidRPr="006777FE">
        <w:t>387 106</w:t>
      </w:r>
    </w:p>
    <w:p w:rsidR="00885646" w:rsidRDefault="004D57C7" w:rsidP="007537D5">
      <w:pPr>
        <w:tabs>
          <w:tab w:val="left" w:pos="4962"/>
        </w:tabs>
        <w:spacing w:after="0" w:line="240" w:lineRule="auto"/>
      </w:pPr>
      <w:r>
        <w:t xml:space="preserve">Hamilton. </w:t>
      </w:r>
      <w:r w:rsidR="00296D07">
        <w:rPr>
          <w:rFonts w:asciiTheme="minorHAnsi" w:hAnsiTheme="minorHAnsi"/>
        </w:rPr>
        <w:t>Richard Allen</w:t>
      </w:r>
      <w:r w:rsidRPr="00E81447">
        <w:rPr>
          <w:rFonts w:asciiTheme="minorHAnsi" w:hAnsiTheme="minorHAnsi" w:cs="Arial"/>
        </w:rPr>
        <w:t xml:space="preserve"> </w:t>
      </w:r>
      <w:r w:rsidR="00E81447" w:rsidRPr="00E81447">
        <w:rPr>
          <w:rFonts w:asciiTheme="minorHAnsi" w:hAnsiTheme="minorHAnsi" w:cs="Arial"/>
          <w:color w:val="222222"/>
          <w:shd w:val="clear" w:color="auto" w:fill="FFFFFF"/>
        </w:rPr>
        <w:t xml:space="preserve">027 </w:t>
      </w:r>
      <w:r w:rsidR="00296D07">
        <w:rPr>
          <w:rFonts w:asciiTheme="minorHAnsi" w:hAnsiTheme="minorHAnsi" w:cs="Arial"/>
          <w:color w:val="222222"/>
          <w:shd w:val="clear" w:color="auto" w:fill="FFFFFF"/>
        </w:rPr>
        <w:t>230</w:t>
      </w:r>
      <w:r w:rsidR="00E81447" w:rsidRPr="00E81447">
        <w:rPr>
          <w:rFonts w:asciiTheme="minorHAnsi" w:hAnsiTheme="minorHAnsi" w:cs="Arial"/>
          <w:color w:val="222222"/>
          <w:shd w:val="clear" w:color="auto" w:fill="FFFFFF"/>
        </w:rPr>
        <w:t xml:space="preserve"> </w:t>
      </w:r>
      <w:r w:rsidR="00296D07">
        <w:rPr>
          <w:rFonts w:asciiTheme="minorHAnsi" w:hAnsiTheme="minorHAnsi" w:cs="Arial"/>
          <w:color w:val="222222"/>
          <w:shd w:val="clear" w:color="auto" w:fill="FFFFFF"/>
        </w:rPr>
        <w:t>7290</w:t>
      </w:r>
      <w:r w:rsidR="007537D5">
        <w:tab/>
      </w:r>
    </w:p>
    <w:p w:rsidR="00885646" w:rsidRPr="004024A6" w:rsidRDefault="004D57C7" w:rsidP="007537D5">
      <w:pPr>
        <w:tabs>
          <w:tab w:val="left" w:pos="4820"/>
        </w:tabs>
        <w:spacing w:after="0" w:line="240" w:lineRule="auto"/>
      </w:pPr>
      <w:proofErr w:type="gramStart"/>
      <w:r w:rsidRPr="004024A6">
        <w:t>Tauranga.</w:t>
      </w:r>
      <w:proofErr w:type="gramEnd"/>
      <w:r w:rsidRPr="004024A6">
        <w:t xml:space="preserve"> Paul Thomas 027 544 4602</w:t>
      </w:r>
    </w:p>
    <w:p w:rsidR="00560ADE" w:rsidRDefault="00560ADE" w:rsidP="00560ADE">
      <w:pPr>
        <w:spacing w:after="0" w:line="240" w:lineRule="auto"/>
      </w:pPr>
      <w:r>
        <w:t xml:space="preserve">Wellington. </w:t>
      </w:r>
      <w:r w:rsidR="00A67FFD" w:rsidRPr="004024A6">
        <w:t>Kerry Buckeridge 021 476 287</w:t>
      </w:r>
    </w:p>
    <w:p w:rsidR="004D57C7" w:rsidRDefault="004D57C7" w:rsidP="00C82F35">
      <w:pPr>
        <w:spacing w:after="0" w:line="240" w:lineRule="auto"/>
      </w:pPr>
      <w:r>
        <w:t xml:space="preserve">Christchurch. </w:t>
      </w:r>
      <w:r w:rsidR="00620BAD">
        <w:t>Daryl Taggart</w:t>
      </w:r>
      <w:r>
        <w:t xml:space="preserve"> 02</w:t>
      </w:r>
      <w:r w:rsidR="00620BAD">
        <w:t>7 304 9815</w:t>
      </w:r>
    </w:p>
    <w:p w:rsidR="001A5C76" w:rsidRDefault="004D57C7" w:rsidP="000C1445">
      <w:pPr>
        <w:spacing w:after="0" w:line="240" w:lineRule="auto"/>
      </w:pPr>
      <w:r>
        <w:t>Dunedin. Tim Gibson 021 151 2887</w:t>
      </w:r>
    </w:p>
    <w:p w:rsidR="00BA2AB7" w:rsidRDefault="00BA2AB7">
      <w:pPr>
        <w:spacing w:after="0" w:line="240" w:lineRule="auto"/>
      </w:pPr>
      <w:r>
        <w:br w:type="page"/>
      </w:r>
    </w:p>
    <w:p w:rsidR="00DB0C2F" w:rsidRDefault="00DB0C2F" w:rsidP="00DB0C2F">
      <w:pPr>
        <w:spacing w:after="0" w:line="240" w:lineRule="auto"/>
        <w:jc w:val="both"/>
      </w:pPr>
      <w:r w:rsidRPr="00DB0C2F">
        <w:lastRenderedPageBreak/>
        <w:t xml:space="preserve"> </w:t>
      </w:r>
    </w:p>
    <w:p w:rsidR="00D612DB" w:rsidRDefault="00D612DB">
      <w:pPr>
        <w:spacing w:after="0" w:line="240" w:lineRule="auto"/>
      </w:pPr>
      <w:r w:rsidRPr="00D612DB">
        <w:rPr>
          <w:noProof/>
          <w:lang w:eastAsia="en-NZ"/>
        </w:rPr>
        <w:drawing>
          <wp:inline distT="0" distB="0" distL="0" distR="0">
            <wp:extent cx="2790825" cy="2387762"/>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90825" cy="2387762"/>
                    </a:xfrm>
                    <a:prstGeom prst="rect">
                      <a:avLst/>
                    </a:prstGeom>
                    <a:noFill/>
                    <a:ln w="9525">
                      <a:noFill/>
                      <a:miter lim="800000"/>
                      <a:headEnd/>
                      <a:tailEnd/>
                    </a:ln>
                  </pic:spPr>
                </pic:pic>
              </a:graphicData>
            </a:graphic>
          </wp:inline>
        </w:drawing>
      </w:r>
      <w:r w:rsidRPr="00D612DB">
        <w:t xml:space="preserve"> </w:t>
      </w:r>
      <w:r w:rsidRPr="00D612DB">
        <w:rPr>
          <w:noProof/>
          <w:lang w:eastAsia="en-NZ"/>
        </w:rPr>
        <w:drawing>
          <wp:inline distT="0" distB="0" distL="0" distR="0">
            <wp:extent cx="2857500" cy="244405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57500" cy="2444052"/>
                    </a:xfrm>
                    <a:prstGeom prst="rect">
                      <a:avLst/>
                    </a:prstGeom>
                    <a:noFill/>
                    <a:ln w="9525">
                      <a:noFill/>
                      <a:miter lim="800000"/>
                      <a:headEnd/>
                      <a:tailEnd/>
                    </a:ln>
                  </pic:spPr>
                </pic:pic>
              </a:graphicData>
            </a:graphic>
          </wp:inline>
        </w:drawing>
      </w:r>
    </w:p>
    <w:p w:rsidR="00D612DB" w:rsidRDefault="00D612DB">
      <w:pPr>
        <w:spacing w:after="0" w:line="240" w:lineRule="auto"/>
      </w:pPr>
      <w:r w:rsidRPr="00D612DB">
        <w:rPr>
          <w:noProof/>
          <w:lang w:eastAsia="en-NZ"/>
        </w:rPr>
        <w:drawing>
          <wp:inline distT="0" distB="0" distL="0" distR="0">
            <wp:extent cx="2790825" cy="2392136"/>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790825" cy="2392136"/>
                    </a:xfrm>
                    <a:prstGeom prst="rect">
                      <a:avLst/>
                    </a:prstGeom>
                    <a:noFill/>
                    <a:ln w="9525">
                      <a:noFill/>
                      <a:miter lim="800000"/>
                      <a:headEnd/>
                      <a:tailEnd/>
                    </a:ln>
                  </pic:spPr>
                </pic:pic>
              </a:graphicData>
            </a:graphic>
          </wp:inline>
        </w:drawing>
      </w:r>
      <w:r w:rsidRPr="00D612DB">
        <w:t xml:space="preserve"> </w:t>
      </w:r>
      <w:r w:rsidRPr="00D612DB">
        <w:rPr>
          <w:noProof/>
          <w:lang w:eastAsia="en-NZ"/>
        </w:rPr>
        <w:drawing>
          <wp:inline distT="0" distB="0" distL="0" distR="0">
            <wp:extent cx="2724150" cy="2330717"/>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724150" cy="2330717"/>
                    </a:xfrm>
                    <a:prstGeom prst="rect">
                      <a:avLst/>
                    </a:prstGeom>
                    <a:noFill/>
                    <a:ln w="9525">
                      <a:noFill/>
                      <a:miter lim="800000"/>
                      <a:headEnd/>
                      <a:tailEnd/>
                    </a:ln>
                  </pic:spPr>
                </pic:pic>
              </a:graphicData>
            </a:graphic>
          </wp:inline>
        </w:drawing>
      </w:r>
    </w:p>
    <w:p w:rsidR="00195CCB" w:rsidRDefault="00D612DB" w:rsidP="00D612DB">
      <w:pPr>
        <w:spacing w:after="0" w:line="240" w:lineRule="auto"/>
      </w:pPr>
      <w:r w:rsidRPr="00D612DB">
        <w:rPr>
          <w:noProof/>
          <w:lang w:eastAsia="en-NZ"/>
        </w:rPr>
        <w:drawing>
          <wp:inline distT="0" distB="0" distL="0" distR="0">
            <wp:extent cx="2790825" cy="2387762"/>
            <wp:effectExtent l="1905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790825" cy="2387762"/>
                    </a:xfrm>
                    <a:prstGeom prst="rect">
                      <a:avLst/>
                    </a:prstGeom>
                    <a:noFill/>
                    <a:ln w="9525">
                      <a:noFill/>
                      <a:miter lim="800000"/>
                      <a:headEnd/>
                      <a:tailEnd/>
                    </a:ln>
                  </pic:spPr>
                </pic:pic>
              </a:graphicData>
            </a:graphic>
          </wp:inline>
        </w:drawing>
      </w:r>
      <w:r w:rsidRPr="00D612DB">
        <w:t xml:space="preserve"> </w:t>
      </w:r>
      <w:r w:rsidRPr="00D612DB">
        <w:rPr>
          <w:noProof/>
          <w:lang w:eastAsia="en-NZ"/>
        </w:rPr>
        <w:drawing>
          <wp:inline distT="0" distB="0" distL="0" distR="0">
            <wp:extent cx="2847975" cy="2431452"/>
            <wp:effectExtent l="1905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847975" cy="2431452"/>
                    </a:xfrm>
                    <a:prstGeom prst="rect">
                      <a:avLst/>
                    </a:prstGeom>
                    <a:noFill/>
                    <a:ln w="9525">
                      <a:noFill/>
                      <a:miter lim="800000"/>
                      <a:headEnd/>
                      <a:tailEnd/>
                    </a:ln>
                  </pic:spPr>
                </pic:pic>
              </a:graphicData>
            </a:graphic>
          </wp:inline>
        </w:drawing>
      </w:r>
    </w:p>
    <w:p w:rsidR="00195CCB" w:rsidRDefault="00195CCB">
      <w:pPr>
        <w:spacing w:after="0" w:line="240" w:lineRule="auto"/>
      </w:pPr>
      <w:r>
        <w:br w:type="page"/>
      </w:r>
    </w:p>
    <w:tbl>
      <w:tblPr>
        <w:tblpPr w:leftFromText="180" w:rightFromText="180" w:horzAnchor="margin" w:tblpXSpec="center" w:tblpY="-46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3460"/>
        <w:gridCol w:w="1842"/>
        <w:gridCol w:w="1418"/>
        <w:gridCol w:w="1417"/>
        <w:gridCol w:w="1495"/>
      </w:tblGrid>
      <w:tr w:rsidR="00195CCB" w:rsidRPr="00195CCB" w:rsidTr="00195CCB">
        <w:trPr>
          <w:trHeight w:val="375"/>
        </w:trPr>
        <w:tc>
          <w:tcPr>
            <w:tcW w:w="5824" w:type="dxa"/>
            <w:gridSpan w:val="3"/>
            <w:shd w:val="clear" w:color="auto" w:fill="auto"/>
            <w:noWrap/>
            <w:vAlign w:val="bottom"/>
            <w:hideMark/>
          </w:tcPr>
          <w:p w:rsidR="00195CCB" w:rsidRPr="00195CCB" w:rsidRDefault="00195CCB" w:rsidP="00195CCB">
            <w:pPr>
              <w:spacing w:after="0" w:line="240" w:lineRule="auto"/>
              <w:rPr>
                <w:rFonts w:eastAsia="Times New Roman" w:cs="Calibri"/>
                <w:b/>
                <w:bCs/>
                <w:color w:val="000000"/>
                <w:sz w:val="28"/>
                <w:szCs w:val="28"/>
                <w:lang w:eastAsia="en-NZ"/>
              </w:rPr>
            </w:pPr>
            <w:r w:rsidRPr="00195CCB">
              <w:rPr>
                <w:rFonts w:eastAsia="Times New Roman" w:cs="Calibri"/>
                <w:b/>
                <w:bCs/>
                <w:color w:val="000000"/>
                <w:sz w:val="28"/>
                <w:szCs w:val="28"/>
                <w:lang w:eastAsia="en-NZ"/>
              </w:rPr>
              <w:lastRenderedPageBreak/>
              <w:t xml:space="preserve">PropertyIQ Value Index - Residential Property </w:t>
            </w:r>
          </w:p>
        </w:tc>
        <w:tc>
          <w:tcPr>
            <w:tcW w:w="1418" w:type="dxa"/>
            <w:shd w:val="clear" w:color="auto" w:fill="auto"/>
            <w:noWrap/>
            <w:vAlign w:val="bottom"/>
            <w:hideMark/>
          </w:tcPr>
          <w:p w:rsidR="00195CCB" w:rsidRPr="00195CCB" w:rsidRDefault="00195CCB" w:rsidP="00195CCB">
            <w:pPr>
              <w:spacing w:after="0" w:line="240" w:lineRule="auto"/>
              <w:rPr>
                <w:rFonts w:eastAsia="Times New Roman" w:cs="Calibri"/>
                <w:b/>
                <w:bCs/>
                <w:color w:val="000000"/>
                <w:sz w:val="28"/>
                <w:szCs w:val="28"/>
                <w:lang w:eastAsia="en-NZ"/>
              </w:rPr>
            </w:pPr>
          </w:p>
        </w:tc>
        <w:tc>
          <w:tcPr>
            <w:tcW w:w="1417"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c>
          <w:tcPr>
            <w:tcW w:w="1495" w:type="dxa"/>
            <w:shd w:val="clear" w:color="auto" w:fill="auto"/>
            <w:noWrap/>
            <w:vAlign w:val="bottom"/>
            <w:hideMark/>
          </w:tcPr>
          <w:p w:rsidR="00195CCB" w:rsidRPr="00195CCB" w:rsidRDefault="00195CCB" w:rsidP="00195CCB">
            <w:pPr>
              <w:spacing w:after="0" w:line="240" w:lineRule="auto"/>
              <w:jc w:val="center"/>
              <w:rPr>
                <w:rFonts w:ascii="Arial" w:eastAsia="Times New Roman" w:hAnsi="Arial" w:cs="Arial"/>
                <w:b/>
                <w:bCs/>
                <w:color w:val="FF0000"/>
                <w:sz w:val="20"/>
                <w:szCs w:val="20"/>
                <w:lang w:eastAsia="en-NZ"/>
              </w:rPr>
            </w:pPr>
          </w:p>
        </w:tc>
      </w:tr>
      <w:tr w:rsidR="00195CCB" w:rsidRPr="00195CCB" w:rsidTr="00195CCB">
        <w:trPr>
          <w:trHeight w:val="315"/>
        </w:trPr>
        <w:tc>
          <w:tcPr>
            <w:tcW w:w="3982" w:type="dxa"/>
            <w:gridSpan w:val="2"/>
            <w:shd w:val="clear" w:color="auto" w:fill="auto"/>
            <w:noWrap/>
            <w:vAlign w:val="bottom"/>
            <w:hideMark/>
          </w:tcPr>
          <w:p w:rsidR="00195CCB" w:rsidRPr="00195CCB" w:rsidRDefault="00195CCB" w:rsidP="00195CCB">
            <w:pPr>
              <w:spacing w:after="0" w:line="240" w:lineRule="auto"/>
              <w:rPr>
                <w:rFonts w:eastAsia="Times New Roman" w:cs="Calibri"/>
                <w:color w:val="000000"/>
                <w:sz w:val="24"/>
                <w:szCs w:val="24"/>
                <w:lang w:eastAsia="en-NZ"/>
              </w:rPr>
            </w:pPr>
            <w:r w:rsidRPr="00195CCB">
              <w:rPr>
                <w:rFonts w:eastAsia="Times New Roman" w:cs="Calibri"/>
                <w:color w:val="000000"/>
                <w:sz w:val="24"/>
                <w:szCs w:val="24"/>
                <w:lang w:eastAsia="en-NZ"/>
              </w:rPr>
              <w:t>Time period: as at June 2013</w:t>
            </w:r>
          </w:p>
        </w:tc>
        <w:tc>
          <w:tcPr>
            <w:tcW w:w="1842" w:type="dxa"/>
            <w:shd w:val="clear" w:color="auto" w:fill="auto"/>
            <w:noWrap/>
            <w:vAlign w:val="bottom"/>
            <w:hideMark/>
          </w:tcPr>
          <w:p w:rsidR="00195CCB" w:rsidRPr="00195CCB" w:rsidRDefault="00195CCB" w:rsidP="00195CCB">
            <w:pPr>
              <w:spacing w:after="0" w:line="240" w:lineRule="auto"/>
              <w:rPr>
                <w:rFonts w:eastAsia="Times New Roman" w:cs="Calibri"/>
                <w:color w:val="000000"/>
                <w:sz w:val="24"/>
                <w:szCs w:val="24"/>
                <w:lang w:eastAsia="en-NZ"/>
              </w:rPr>
            </w:pPr>
          </w:p>
        </w:tc>
        <w:tc>
          <w:tcPr>
            <w:tcW w:w="1418" w:type="dxa"/>
            <w:shd w:val="clear" w:color="auto" w:fill="auto"/>
            <w:noWrap/>
            <w:vAlign w:val="bottom"/>
            <w:hideMark/>
          </w:tcPr>
          <w:p w:rsidR="00195CCB" w:rsidRPr="00195CCB" w:rsidRDefault="00195CCB" w:rsidP="00195CCB">
            <w:pPr>
              <w:spacing w:after="0" w:line="240" w:lineRule="auto"/>
              <w:rPr>
                <w:rFonts w:eastAsia="Times New Roman" w:cs="Calibri"/>
                <w:color w:val="000000"/>
                <w:sz w:val="24"/>
                <w:szCs w:val="24"/>
                <w:lang w:eastAsia="en-NZ"/>
              </w:rPr>
            </w:pPr>
          </w:p>
        </w:tc>
        <w:tc>
          <w:tcPr>
            <w:tcW w:w="1417"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c>
          <w:tcPr>
            <w:tcW w:w="1495"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r>
      <w:tr w:rsidR="00195CCB" w:rsidRPr="00195CCB" w:rsidTr="00195CCB">
        <w:trPr>
          <w:trHeight w:val="255"/>
        </w:trPr>
        <w:tc>
          <w:tcPr>
            <w:tcW w:w="522" w:type="dxa"/>
            <w:shd w:val="clear" w:color="auto" w:fill="auto"/>
            <w:vAlign w:val="bottom"/>
            <w:hideMark/>
          </w:tcPr>
          <w:p w:rsidR="00195CCB" w:rsidRPr="00195CCB" w:rsidRDefault="00195CCB" w:rsidP="00195CCB">
            <w:pPr>
              <w:spacing w:after="0" w:line="240" w:lineRule="auto"/>
              <w:jc w:val="center"/>
              <w:rPr>
                <w:rFonts w:ascii="Arial" w:eastAsia="Times New Roman" w:hAnsi="Arial" w:cs="Arial"/>
                <w:color w:val="000000"/>
                <w:sz w:val="20"/>
                <w:szCs w:val="20"/>
                <w:lang w:eastAsia="en-NZ"/>
              </w:rPr>
            </w:pPr>
          </w:p>
        </w:tc>
        <w:tc>
          <w:tcPr>
            <w:tcW w:w="3460" w:type="dxa"/>
            <w:shd w:val="clear" w:color="auto" w:fill="auto"/>
            <w:vAlign w:val="bottom"/>
            <w:hideMark/>
          </w:tcPr>
          <w:p w:rsidR="00195CCB" w:rsidRPr="00195CCB" w:rsidRDefault="00195CCB" w:rsidP="00195CCB">
            <w:pPr>
              <w:spacing w:after="0" w:line="240" w:lineRule="auto"/>
              <w:jc w:val="center"/>
              <w:rPr>
                <w:rFonts w:ascii="Arial" w:eastAsia="Times New Roman" w:hAnsi="Arial" w:cs="Arial"/>
                <w:color w:val="000000"/>
                <w:sz w:val="20"/>
                <w:szCs w:val="20"/>
                <w:lang w:eastAsia="en-NZ"/>
              </w:rPr>
            </w:pPr>
          </w:p>
        </w:tc>
        <w:tc>
          <w:tcPr>
            <w:tcW w:w="1842" w:type="dxa"/>
            <w:shd w:val="clear" w:color="auto" w:fill="auto"/>
            <w:vAlign w:val="bottom"/>
            <w:hideMark/>
          </w:tcPr>
          <w:p w:rsidR="00195CCB" w:rsidRPr="00195CCB" w:rsidRDefault="00195CCB" w:rsidP="00195CCB">
            <w:pPr>
              <w:spacing w:after="0" w:line="240" w:lineRule="auto"/>
              <w:jc w:val="center"/>
              <w:rPr>
                <w:rFonts w:ascii="Arial" w:eastAsia="Times New Roman" w:hAnsi="Arial" w:cs="Arial"/>
                <w:color w:val="000000"/>
                <w:sz w:val="20"/>
                <w:szCs w:val="20"/>
                <w:lang w:eastAsia="en-NZ"/>
              </w:rPr>
            </w:pPr>
          </w:p>
        </w:tc>
        <w:tc>
          <w:tcPr>
            <w:tcW w:w="1418" w:type="dxa"/>
            <w:shd w:val="clear" w:color="auto" w:fill="auto"/>
            <w:vAlign w:val="bottom"/>
            <w:hideMark/>
          </w:tcPr>
          <w:p w:rsidR="00195CCB" w:rsidRPr="00195CCB" w:rsidRDefault="00195CCB" w:rsidP="00195CCB">
            <w:pPr>
              <w:spacing w:after="0" w:line="240" w:lineRule="auto"/>
              <w:jc w:val="center"/>
              <w:rPr>
                <w:rFonts w:ascii="Arial" w:eastAsia="Times New Roman" w:hAnsi="Arial" w:cs="Arial"/>
                <w:color w:val="000000"/>
                <w:sz w:val="20"/>
                <w:szCs w:val="20"/>
                <w:lang w:eastAsia="en-NZ"/>
              </w:rPr>
            </w:pPr>
          </w:p>
        </w:tc>
        <w:tc>
          <w:tcPr>
            <w:tcW w:w="1417"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c>
          <w:tcPr>
            <w:tcW w:w="1495"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r>
      <w:tr w:rsidR="00195CCB" w:rsidRPr="00195CCB" w:rsidTr="00195CCB">
        <w:trPr>
          <w:trHeight w:val="600"/>
        </w:trPr>
        <w:tc>
          <w:tcPr>
            <w:tcW w:w="522" w:type="dxa"/>
            <w:shd w:val="clear" w:color="auto" w:fill="auto"/>
            <w:hideMark/>
          </w:tcPr>
          <w:p w:rsidR="00195CCB" w:rsidRPr="00195CCB" w:rsidRDefault="00195CCB" w:rsidP="00195CCB">
            <w:pPr>
              <w:spacing w:after="0" w:line="240" w:lineRule="auto"/>
              <w:jc w:val="center"/>
              <w:rPr>
                <w:rFonts w:eastAsia="Times New Roman" w:cs="Calibri"/>
                <w:b/>
                <w:bCs/>
                <w:color w:val="000000"/>
                <w:lang w:eastAsia="en-NZ"/>
              </w:rPr>
            </w:pPr>
          </w:p>
        </w:tc>
        <w:tc>
          <w:tcPr>
            <w:tcW w:w="3460" w:type="dxa"/>
            <w:shd w:val="clear" w:color="auto" w:fill="auto"/>
            <w:hideMark/>
          </w:tcPr>
          <w:p w:rsidR="00195CCB" w:rsidRPr="00195CCB" w:rsidRDefault="00195CCB" w:rsidP="00195CCB">
            <w:pPr>
              <w:spacing w:after="0" w:line="240" w:lineRule="auto"/>
              <w:rPr>
                <w:rFonts w:eastAsia="Times New Roman" w:cs="Calibri"/>
                <w:b/>
                <w:bCs/>
                <w:color w:val="000000"/>
                <w:lang w:eastAsia="en-NZ"/>
              </w:rPr>
            </w:pPr>
            <w:r w:rsidRPr="00195CCB">
              <w:rPr>
                <w:rFonts w:eastAsia="Times New Roman" w:cs="Calibri"/>
                <w:b/>
                <w:bCs/>
                <w:color w:val="000000"/>
                <w:lang w:eastAsia="en-NZ"/>
              </w:rPr>
              <w:t>Territorial authority</w:t>
            </w:r>
          </w:p>
        </w:tc>
        <w:tc>
          <w:tcPr>
            <w:tcW w:w="1842" w:type="dxa"/>
            <w:shd w:val="clear" w:color="auto" w:fill="auto"/>
            <w:hideMark/>
          </w:tcPr>
          <w:p w:rsidR="00195CCB" w:rsidRPr="00195CCB" w:rsidRDefault="00195CCB" w:rsidP="00195CCB">
            <w:pPr>
              <w:spacing w:after="0" w:line="240" w:lineRule="auto"/>
              <w:jc w:val="center"/>
              <w:rPr>
                <w:rFonts w:eastAsia="Times New Roman" w:cs="Calibri"/>
                <w:b/>
                <w:bCs/>
                <w:color w:val="000000"/>
                <w:lang w:eastAsia="en-NZ"/>
              </w:rPr>
            </w:pPr>
            <w:r w:rsidRPr="00195CCB">
              <w:rPr>
                <w:rFonts w:eastAsia="Times New Roman" w:cs="Calibri"/>
                <w:b/>
                <w:bCs/>
                <w:color w:val="000000"/>
                <w:lang w:eastAsia="en-NZ"/>
              </w:rPr>
              <w:t>Average current value</w:t>
            </w:r>
          </w:p>
        </w:tc>
        <w:tc>
          <w:tcPr>
            <w:tcW w:w="1418" w:type="dxa"/>
            <w:shd w:val="clear" w:color="auto" w:fill="auto"/>
            <w:hideMark/>
          </w:tcPr>
          <w:p w:rsidR="00195CCB" w:rsidRPr="00195CCB" w:rsidRDefault="00195CCB" w:rsidP="00195CCB">
            <w:pPr>
              <w:spacing w:after="0" w:line="240" w:lineRule="auto"/>
              <w:jc w:val="center"/>
              <w:rPr>
                <w:rFonts w:eastAsia="Times New Roman" w:cs="Calibri"/>
                <w:b/>
                <w:bCs/>
                <w:color w:val="000000"/>
                <w:lang w:eastAsia="en-NZ"/>
              </w:rPr>
            </w:pPr>
            <w:r w:rsidRPr="00195CCB">
              <w:rPr>
                <w:rFonts w:eastAsia="Times New Roman" w:cs="Calibri"/>
                <w:b/>
                <w:bCs/>
                <w:color w:val="000000"/>
                <w:lang w:eastAsia="en-NZ"/>
              </w:rPr>
              <w:t>12 month change%</w:t>
            </w:r>
          </w:p>
        </w:tc>
        <w:tc>
          <w:tcPr>
            <w:tcW w:w="1417" w:type="dxa"/>
            <w:shd w:val="clear" w:color="auto" w:fill="auto"/>
            <w:hideMark/>
          </w:tcPr>
          <w:p w:rsidR="00195CCB" w:rsidRPr="00195CCB" w:rsidRDefault="00195CCB" w:rsidP="00195CCB">
            <w:pPr>
              <w:spacing w:after="0" w:line="240" w:lineRule="auto"/>
              <w:jc w:val="center"/>
              <w:rPr>
                <w:rFonts w:eastAsia="Times New Roman" w:cs="Calibri"/>
                <w:b/>
                <w:bCs/>
                <w:color w:val="000000"/>
                <w:lang w:eastAsia="en-NZ"/>
              </w:rPr>
            </w:pPr>
            <w:r w:rsidRPr="00195CCB">
              <w:rPr>
                <w:rFonts w:eastAsia="Times New Roman" w:cs="Calibri"/>
                <w:b/>
                <w:bCs/>
                <w:color w:val="000000"/>
                <w:lang w:eastAsia="en-NZ"/>
              </w:rPr>
              <w:t>3 month change %</w:t>
            </w:r>
          </w:p>
        </w:tc>
        <w:tc>
          <w:tcPr>
            <w:tcW w:w="1495" w:type="dxa"/>
            <w:shd w:val="clear" w:color="auto" w:fill="auto"/>
            <w:hideMark/>
          </w:tcPr>
          <w:p w:rsidR="00195CCB" w:rsidRPr="00195CCB" w:rsidRDefault="00195CCB" w:rsidP="00195CCB">
            <w:pPr>
              <w:spacing w:after="0" w:line="240" w:lineRule="auto"/>
              <w:jc w:val="center"/>
              <w:rPr>
                <w:rFonts w:eastAsia="Times New Roman" w:cs="Calibri"/>
                <w:b/>
                <w:bCs/>
                <w:color w:val="000000"/>
                <w:lang w:eastAsia="en-NZ"/>
              </w:rPr>
            </w:pPr>
            <w:r w:rsidRPr="00195CCB">
              <w:rPr>
                <w:rFonts w:eastAsia="Times New Roman" w:cs="Calibri"/>
                <w:b/>
                <w:bCs/>
                <w:color w:val="000000"/>
                <w:lang w:eastAsia="en-NZ"/>
              </w:rPr>
              <w:t>Since 2007 market peak change %</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Far North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310,484</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1.5%</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-23.8%</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Whangarei</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330,932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-16.4%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Kaipara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314,588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6.7%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3.3%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-21.5%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Auckland - Rodney</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611,976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9.1%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Rodney - Hibiscus Coast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613,733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9.7%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Rodney - North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608,796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8.6%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Auckland - North Shore</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753,581</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13.2%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17.5%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North Shore - Coastal</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870,646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13.6%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15.5%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 xml:space="preserve">North Shore - </w:t>
            </w:r>
            <w:proofErr w:type="spellStart"/>
            <w:r w:rsidRPr="00195CCB">
              <w:rPr>
                <w:rFonts w:eastAsia="Times New Roman" w:cs="Calibri"/>
                <w:color w:val="000000"/>
                <w:lang w:eastAsia="en-NZ"/>
              </w:rPr>
              <w:t>Onewa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595,508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13.3%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20.1%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North Shore - North Harbour</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724,828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12.0%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3.4%</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19.3%</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 xml:space="preserve">Auckland - </w:t>
            </w:r>
            <w:proofErr w:type="spellStart"/>
            <w:r w:rsidRPr="00195CCB">
              <w:rPr>
                <w:rFonts w:eastAsia="Times New Roman" w:cs="Calibri"/>
                <w:color w:val="000000"/>
                <w:lang w:eastAsia="en-NZ"/>
              </w:rPr>
              <w:t>Waitakere</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487,479</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13.3%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14.5%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Auckland - City</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760,912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13.4%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22.0%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Auckland City - Central</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687,667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12.6%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20.7%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Auckland City - East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936,874</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12.1%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3.9%</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17.6%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Auckland City - South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677,796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15.7%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25.9%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Auckland City - Islands</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691,442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7.7%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8.2%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 xml:space="preserve">Auckland - </w:t>
            </w:r>
            <w:proofErr w:type="spellStart"/>
            <w:r w:rsidRPr="00195CCB">
              <w:rPr>
                <w:rFonts w:eastAsia="Times New Roman" w:cs="Calibri"/>
                <w:color w:val="000000"/>
                <w:lang w:eastAsia="en-NZ"/>
              </w:rPr>
              <w:t>Manukau</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524,636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12.1%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14.2%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proofErr w:type="spellStart"/>
            <w:r w:rsidRPr="00195CCB">
              <w:rPr>
                <w:rFonts w:eastAsia="Times New Roman" w:cs="Calibri"/>
                <w:color w:val="000000"/>
                <w:lang w:eastAsia="en-NZ"/>
              </w:rPr>
              <w:t>Manukau</w:t>
            </w:r>
            <w:proofErr w:type="spellEnd"/>
            <w:r w:rsidRPr="00195CCB">
              <w:rPr>
                <w:rFonts w:eastAsia="Times New Roman" w:cs="Calibri"/>
                <w:color w:val="000000"/>
                <w:lang w:eastAsia="en-NZ"/>
              </w:rPr>
              <w:t xml:space="preserve"> - East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704,295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12.4%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4.4%</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18.2%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proofErr w:type="spellStart"/>
            <w:r w:rsidRPr="00195CCB">
              <w:rPr>
                <w:rFonts w:eastAsia="Times New Roman" w:cs="Calibri"/>
                <w:color w:val="000000"/>
                <w:lang w:eastAsia="en-NZ"/>
              </w:rPr>
              <w:t>Manukau</w:t>
            </w:r>
            <w:proofErr w:type="spellEnd"/>
            <w:r w:rsidRPr="00195CCB">
              <w:rPr>
                <w:rFonts w:eastAsia="Times New Roman" w:cs="Calibri"/>
                <w:color w:val="000000"/>
                <w:lang w:eastAsia="en-NZ"/>
              </w:rPr>
              <w:t xml:space="preserve"> - Central</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398,578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11.8%</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6.0%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proofErr w:type="spellStart"/>
            <w:r w:rsidRPr="00195CCB">
              <w:rPr>
                <w:rFonts w:eastAsia="Times New Roman" w:cs="Calibri"/>
                <w:color w:val="000000"/>
                <w:lang w:eastAsia="en-NZ"/>
              </w:rPr>
              <w:t>Manukau</w:t>
            </w:r>
            <w:proofErr w:type="spellEnd"/>
            <w:r w:rsidRPr="00195CCB">
              <w:rPr>
                <w:rFonts w:eastAsia="Times New Roman" w:cs="Calibri"/>
                <w:color w:val="000000"/>
                <w:lang w:eastAsia="en-NZ"/>
              </w:rPr>
              <w:t xml:space="preserve"> - North West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425,621</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12.4%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3.9%</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15.2%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 xml:space="preserve">Auckland - </w:t>
            </w:r>
            <w:proofErr w:type="spellStart"/>
            <w:r w:rsidRPr="00195CCB">
              <w:rPr>
                <w:rFonts w:eastAsia="Times New Roman" w:cs="Calibri"/>
                <w:color w:val="000000"/>
                <w:lang w:eastAsia="en-NZ"/>
              </w:rPr>
              <w:t>Papakura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380,861</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9.2%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Auckland - Franklin</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417,967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7.2%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Thames Coromandel</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500,045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-14.6%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Hauraki</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244,316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0.8%</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-14.4%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Waikato</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270,247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-16.6%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Matamata</w:t>
            </w:r>
            <w:proofErr w:type="spellEnd"/>
            <w:r w:rsidRPr="00195CCB">
              <w:rPr>
                <w:rFonts w:eastAsia="Times New Roman" w:cs="Calibri"/>
                <w:color w:val="000000"/>
                <w:lang w:eastAsia="en-NZ"/>
              </w:rPr>
              <w:t xml:space="preserve"> </w:t>
            </w:r>
            <w:proofErr w:type="spellStart"/>
            <w:r w:rsidRPr="00195CCB">
              <w:rPr>
                <w:rFonts w:eastAsia="Times New Roman" w:cs="Calibri"/>
                <w:color w:val="000000"/>
                <w:lang w:eastAsia="en-NZ"/>
              </w:rPr>
              <w:t>Piako</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261,931</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-12.5%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Hamilton</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348,399</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Hamilton  - North East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435,313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Hamilton - Central &amp; North West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327,776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-8.4%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Hamilton - South East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321,272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-8.1%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Hamilton - South West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310,843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2.8%</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-9.2%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Waipa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321,948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-4.8%</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Otorohanga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South Waikato</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127,423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-3.9%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-22.0%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Waitomo</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137,604</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-7.2%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-8.7%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-37.9%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Taupo</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347,876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-14.2%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Western BOP</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391,661</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0.5%</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-14.0%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Tauranga</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428,943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-0.5%</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Rotorua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269,015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-13.4%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Whakatane</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295,125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-15.0%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Kawerau</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105,442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-12.3%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-34.6%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Opotiki</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206,934</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-26.4%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Gisborne</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230,983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-23.6%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Wairoa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Hastings</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299,270</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0.9%</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Napier</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324,102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 xml:space="preserve">Central </w:t>
            </w:r>
            <w:proofErr w:type="spellStart"/>
            <w:r w:rsidRPr="00195CCB">
              <w:rPr>
                <w:rFonts w:eastAsia="Times New Roman" w:cs="Calibri"/>
                <w:color w:val="000000"/>
                <w:lang w:eastAsia="en-NZ"/>
              </w:rPr>
              <w:t>Hawkes</w:t>
            </w:r>
            <w:proofErr w:type="spellEnd"/>
            <w:r w:rsidRPr="00195CCB">
              <w:rPr>
                <w:rFonts w:eastAsia="Times New Roman" w:cs="Calibri"/>
                <w:color w:val="000000"/>
                <w:lang w:eastAsia="en-NZ"/>
              </w:rPr>
              <w:t xml:space="preserve"> Bay</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201,423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-7.2%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-5.8%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-24.8%</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New Plymouth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335,447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0.3%</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Stratford</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195,246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5.5%</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-10.2%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 xml:space="preserve">South </w:t>
            </w:r>
            <w:proofErr w:type="spellStart"/>
            <w:r w:rsidRPr="00195CCB">
              <w:rPr>
                <w:rFonts w:eastAsia="Times New Roman" w:cs="Calibri"/>
                <w:color w:val="000000"/>
                <w:lang w:eastAsia="en-NZ"/>
              </w:rPr>
              <w:t>Taranaki</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182,286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-8.2%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Ruapehu</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135,113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-6.9%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-25.6%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Wanganui</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190,345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-13.2%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Rangitikei</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147,711</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-17.8%</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Manawatu</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237,053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-0.9%</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-6.7%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Palmerston</w:t>
            </w:r>
            <w:proofErr w:type="spellEnd"/>
            <w:r w:rsidRPr="00195CCB">
              <w:rPr>
                <w:rFonts w:eastAsia="Times New Roman" w:cs="Calibri"/>
                <w:color w:val="000000"/>
                <w:lang w:eastAsia="en-NZ"/>
              </w:rPr>
              <w:t xml:space="preserve"> North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285,693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Tararua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158,102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5.1%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-9.3%</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Horowhenua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199,718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-16.5%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Kapiti</w:t>
            </w:r>
            <w:proofErr w:type="spellEnd"/>
            <w:r w:rsidRPr="00195CCB">
              <w:rPr>
                <w:rFonts w:eastAsia="Times New Roman" w:cs="Calibri"/>
                <w:color w:val="000000"/>
                <w:lang w:eastAsia="en-NZ"/>
              </w:rPr>
              <w:t xml:space="preserve"> Coast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363,142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Porirua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377,294</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Upper Hutt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334,336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2.8%</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Hutt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367,696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-7.4%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Wellington</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525,245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0.4%</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-2.3%</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Wellington - Central &amp; South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533,597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-4.8%</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Wellington - East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566,876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1.5%</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Wellington - North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458,564</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Wellington - West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607,937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Masterton</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237,345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-18.0%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Carterton</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253,156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2.1%</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-8.3%</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 xml:space="preserve">South </w:t>
            </w:r>
            <w:proofErr w:type="spellStart"/>
            <w:r w:rsidRPr="00195CCB">
              <w:rPr>
                <w:rFonts w:eastAsia="Times New Roman" w:cs="Calibri"/>
                <w:color w:val="000000"/>
                <w:lang w:eastAsia="en-NZ"/>
              </w:rPr>
              <w:t>Wairarapa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291,245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-15.0%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Tasman</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401,791</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Nelson</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393,797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Marlborough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343,229</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-12.1%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Kaikoura</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N/A</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Buller</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221,277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6.6%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Grey</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214,695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-2.8%</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-10.9%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Westland</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227,975</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0.6%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4.8%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-8.1%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Hurunui</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326,250</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8.5%</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Waimakariri</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378,317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18.7%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Christchurch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429,378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10.4%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12.0%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Christchurch - East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329,788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9.2%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6.6%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Christchurch - Hills</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601,403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8.9%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2.7%</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8.7%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Christchurch - Central &amp; North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496,173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11.6%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12.1%</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Christchurch - Southwest</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396,483</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10.4%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3.9%</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16.8%</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Christchurch - Banks Peninsula</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512,389</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16.5%</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8.2%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6.7%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Selwyn</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463,678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10.6%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22.9%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Ashburton</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301,419</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9.3%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1.9%</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7.6%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Timaru</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267,474</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MacKenzie</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278,749</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6.4%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-5.7%</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Waimate</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188,828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5.2%</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2.1%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i/>
                <w:iCs/>
                <w:lang w:eastAsia="en-NZ"/>
              </w:rPr>
            </w:pPr>
            <w:r w:rsidRPr="00195CCB">
              <w:rPr>
                <w:rFonts w:eastAsia="Times New Roman" w:cs="Calibri"/>
                <w:i/>
                <w:iCs/>
                <w:lang w:eastAsia="en-NZ"/>
              </w:rPr>
              <w:t>-1.5%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roofErr w:type="spellStart"/>
            <w:r w:rsidRPr="00195CCB">
              <w:rPr>
                <w:rFonts w:eastAsia="Times New Roman" w:cs="Calibri"/>
                <w:color w:val="000000"/>
                <w:lang w:eastAsia="en-NZ"/>
              </w:rPr>
              <w:t>Waitaki</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218,080</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1.3%</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-4.6%</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 xml:space="preserve">Central </w:t>
            </w:r>
            <w:proofErr w:type="spellStart"/>
            <w:r w:rsidRPr="00195CCB">
              <w:rPr>
                <w:rFonts w:eastAsia="Times New Roman" w:cs="Calibri"/>
                <w:color w:val="000000"/>
                <w:lang w:eastAsia="en-NZ"/>
              </w:rPr>
              <w:t>Otago</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300,637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2.4%</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-5.3%</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Queenstown Lakes</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636,727</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-10.9%</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Dunedin</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285,509</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0.4%</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Dunedin - Central &amp; North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294,368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4.0%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0.9%</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-2.4%</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Dunedin - Peninsular &amp; Coastal</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260,462</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0.9%</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-3.8%</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Dunedin - South</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276,976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5.8%</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noWrap/>
            <w:vAlign w:val="bottom"/>
            <w:hideMark/>
          </w:tcPr>
          <w:p w:rsidR="00195CCB" w:rsidRPr="00195CCB" w:rsidRDefault="00195CCB" w:rsidP="00195CCB">
            <w:pPr>
              <w:spacing w:after="0" w:line="240" w:lineRule="auto"/>
              <w:ind w:firstLineChars="200" w:firstLine="440"/>
              <w:rPr>
                <w:rFonts w:eastAsia="Times New Roman" w:cs="Calibri"/>
                <w:color w:val="000000"/>
                <w:lang w:eastAsia="en-NZ"/>
              </w:rPr>
            </w:pPr>
            <w:r w:rsidRPr="00195CCB">
              <w:rPr>
                <w:rFonts w:eastAsia="Times New Roman" w:cs="Calibri"/>
                <w:color w:val="000000"/>
                <w:lang w:eastAsia="en-NZ"/>
              </w:rPr>
              <w:t xml:space="preserve">Dunedin - </w:t>
            </w:r>
            <w:proofErr w:type="spellStart"/>
            <w:r w:rsidRPr="00195CCB">
              <w:rPr>
                <w:rFonts w:eastAsia="Times New Roman" w:cs="Calibri"/>
                <w:color w:val="000000"/>
                <w:lang w:eastAsia="en-NZ"/>
              </w:rPr>
              <w:t>Taieri</w:t>
            </w:r>
            <w:proofErr w:type="spellEnd"/>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294,326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3.7%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0.1%</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Clutha</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156,006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-5.0%</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-6.6%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-14.0%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Southland</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208,986</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Gore</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177,248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-2.4%</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0.2%</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Invercargill</w:t>
            </w:r>
          </w:p>
        </w:tc>
        <w:tc>
          <w:tcPr>
            <w:tcW w:w="1842"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204,158</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-0.7%</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-2.0%</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-9.0%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1842" w:type="dxa"/>
            <w:shd w:val="clear" w:color="auto" w:fill="auto"/>
            <w:noWrap/>
            <w:vAlign w:val="bottom"/>
            <w:hideMark/>
          </w:tcPr>
          <w:p w:rsidR="00195CCB" w:rsidRPr="00195CCB" w:rsidRDefault="00195CCB" w:rsidP="00195CCB">
            <w:pPr>
              <w:spacing w:after="0" w:line="240" w:lineRule="auto"/>
              <w:rPr>
                <w:rFonts w:eastAsia="Times New Roman" w:cs="Calibri"/>
                <w:lang w:eastAsia="en-NZ"/>
              </w:rPr>
            </w:pPr>
          </w:p>
        </w:tc>
        <w:tc>
          <w:tcPr>
            <w:tcW w:w="1418" w:type="dxa"/>
            <w:shd w:val="clear" w:color="auto" w:fill="auto"/>
            <w:vAlign w:val="bottom"/>
            <w:hideMark/>
          </w:tcPr>
          <w:p w:rsidR="00195CCB" w:rsidRPr="00195CCB" w:rsidRDefault="00195CCB" w:rsidP="00195CCB">
            <w:pPr>
              <w:spacing w:after="0" w:line="240" w:lineRule="auto"/>
              <w:jc w:val="right"/>
              <w:rPr>
                <w:rFonts w:eastAsia="Times New Roman" w:cs="Calibri"/>
                <w:color w:val="000000"/>
                <w:lang w:eastAsia="en-NZ"/>
              </w:rPr>
            </w:pPr>
          </w:p>
        </w:tc>
        <w:tc>
          <w:tcPr>
            <w:tcW w:w="1417" w:type="dxa"/>
            <w:shd w:val="clear" w:color="auto" w:fill="auto"/>
            <w:noWrap/>
            <w:vAlign w:val="bottom"/>
            <w:hideMark/>
          </w:tcPr>
          <w:p w:rsidR="00195CCB" w:rsidRPr="00195CCB" w:rsidRDefault="00195CCB" w:rsidP="00195CCB">
            <w:pPr>
              <w:spacing w:after="0" w:line="240" w:lineRule="auto"/>
              <w:rPr>
                <w:rFonts w:eastAsia="Times New Roman" w:cs="Calibri"/>
                <w:color w:val="000000"/>
                <w:lang w:eastAsia="en-NZ"/>
              </w:rPr>
            </w:pPr>
          </w:p>
        </w:tc>
        <w:tc>
          <w:tcPr>
            <w:tcW w:w="1495" w:type="dxa"/>
            <w:shd w:val="clear" w:color="auto" w:fill="auto"/>
            <w:noWrap/>
            <w:vAlign w:val="bottom"/>
            <w:hideMark/>
          </w:tcPr>
          <w:p w:rsidR="00195CCB" w:rsidRPr="00195CCB" w:rsidRDefault="00195CCB" w:rsidP="00195CCB">
            <w:pPr>
              <w:spacing w:after="0" w:line="240" w:lineRule="auto"/>
              <w:rPr>
                <w:rFonts w:eastAsia="Times New Roman" w:cs="Calibri"/>
                <w:color w:val="000000"/>
                <w:lang w:eastAsia="en-NZ"/>
              </w:rPr>
            </w:pP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Auckland Area</w:t>
            </w:r>
          </w:p>
        </w:tc>
        <w:tc>
          <w:tcPr>
            <w:tcW w:w="1842" w:type="dxa"/>
            <w:shd w:val="clear" w:color="000000" w:fill="F2F2F2"/>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 xml:space="preserve">              639,385 </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12.6%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4.5%</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17.0%</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Wellington Area</w:t>
            </w:r>
          </w:p>
        </w:tc>
        <w:tc>
          <w:tcPr>
            <w:tcW w:w="1842" w:type="dxa"/>
            <w:shd w:val="clear" w:color="000000" w:fill="F2F2F2"/>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 xml:space="preserve">              444,691 </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2.6%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0.6%</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-3.3%</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w:t>
            </w:r>
          </w:p>
        </w:tc>
        <w:tc>
          <w:tcPr>
            <w:tcW w:w="3460"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r w:rsidRPr="00195CCB">
              <w:rPr>
                <w:rFonts w:eastAsia="Times New Roman" w:cs="Calibri"/>
                <w:color w:val="000000"/>
                <w:lang w:eastAsia="en-NZ"/>
              </w:rPr>
              <w:t>Main Urban Areas</w:t>
            </w:r>
          </w:p>
        </w:tc>
        <w:tc>
          <w:tcPr>
            <w:tcW w:w="1842" w:type="dxa"/>
            <w:shd w:val="clear" w:color="000000" w:fill="F2F2F2"/>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 xml:space="preserve">              506,703 </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9.3%</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3.2%</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color w:val="000000"/>
                <w:lang w:eastAsia="en-NZ"/>
              </w:rPr>
            </w:pPr>
            <w:r w:rsidRPr="00195CCB">
              <w:rPr>
                <w:rFonts w:eastAsia="Times New Roman" w:cs="Calibri"/>
                <w:color w:val="000000"/>
                <w:lang w:eastAsia="en-NZ"/>
              </w:rPr>
              <w:t>10.5%</w:t>
            </w:r>
          </w:p>
        </w:tc>
      </w:tr>
      <w:tr w:rsidR="00195CCB" w:rsidRPr="00195CCB" w:rsidTr="00195CCB">
        <w:trPr>
          <w:trHeight w:val="300"/>
        </w:trPr>
        <w:tc>
          <w:tcPr>
            <w:tcW w:w="522" w:type="dxa"/>
            <w:shd w:val="clear" w:color="auto" w:fill="auto"/>
            <w:vAlign w:val="bottom"/>
            <w:hideMark/>
          </w:tcPr>
          <w:p w:rsidR="00195CCB" w:rsidRPr="00195CCB" w:rsidRDefault="00195CCB" w:rsidP="00195CCB">
            <w:pPr>
              <w:spacing w:after="0" w:line="240" w:lineRule="auto"/>
              <w:rPr>
                <w:rFonts w:eastAsia="Times New Roman" w:cs="Calibri"/>
                <w:color w:val="000000"/>
                <w:lang w:eastAsia="en-NZ"/>
              </w:rPr>
            </w:pPr>
          </w:p>
        </w:tc>
        <w:tc>
          <w:tcPr>
            <w:tcW w:w="3460" w:type="dxa"/>
            <w:shd w:val="clear" w:color="auto" w:fill="auto"/>
            <w:vAlign w:val="bottom"/>
            <w:hideMark/>
          </w:tcPr>
          <w:p w:rsidR="00195CCB" w:rsidRPr="00195CCB" w:rsidRDefault="00195CCB" w:rsidP="00195CCB">
            <w:pPr>
              <w:spacing w:after="0" w:line="240" w:lineRule="auto"/>
              <w:rPr>
                <w:rFonts w:eastAsia="Times New Roman" w:cs="Calibri"/>
                <w:b/>
                <w:bCs/>
                <w:color w:val="000000"/>
                <w:lang w:eastAsia="en-NZ"/>
              </w:rPr>
            </w:pPr>
            <w:r w:rsidRPr="00195CCB">
              <w:rPr>
                <w:rFonts w:eastAsia="Times New Roman" w:cs="Calibri"/>
                <w:b/>
                <w:bCs/>
                <w:color w:val="000000"/>
                <w:lang w:eastAsia="en-NZ"/>
              </w:rPr>
              <w:t>Total NZ</w:t>
            </w:r>
          </w:p>
        </w:tc>
        <w:tc>
          <w:tcPr>
            <w:tcW w:w="1842" w:type="dxa"/>
            <w:shd w:val="clear" w:color="000000" w:fill="F2F2F2"/>
            <w:noWrap/>
            <w:vAlign w:val="bottom"/>
            <w:hideMark/>
          </w:tcPr>
          <w:p w:rsidR="00195CCB" w:rsidRPr="00195CCB" w:rsidRDefault="00195CCB" w:rsidP="00195CCB">
            <w:pPr>
              <w:spacing w:after="0" w:line="240" w:lineRule="auto"/>
              <w:jc w:val="right"/>
              <w:rPr>
                <w:rFonts w:eastAsia="Times New Roman" w:cs="Calibri"/>
                <w:lang w:eastAsia="en-NZ"/>
              </w:rPr>
            </w:pPr>
            <w:r w:rsidRPr="00195CCB">
              <w:rPr>
                <w:rFonts w:eastAsia="Times New Roman" w:cs="Calibri"/>
                <w:lang w:eastAsia="en-NZ"/>
              </w:rPr>
              <w:t xml:space="preserve">              441,254 </w:t>
            </w:r>
          </w:p>
        </w:tc>
        <w:tc>
          <w:tcPr>
            <w:tcW w:w="1418" w:type="dxa"/>
            <w:shd w:val="clear" w:color="auto" w:fill="auto"/>
            <w:noWrap/>
            <w:vAlign w:val="bottom"/>
            <w:hideMark/>
          </w:tcPr>
          <w:p w:rsidR="00195CCB" w:rsidRPr="00195CCB" w:rsidRDefault="00195CCB" w:rsidP="00195CCB">
            <w:pPr>
              <w:spacing w:after="0" w:line="240" w:lineRule="auto"/>
              <w:jc w:val="right"/>
              <w:rPr>
                <w:rFonts w:eastAsia="Times New Roman" w:cs="Calibri"/>
                <w:b/>
                <w:bCs/>
                <w:lang w:eastAsia="en-NZ"/>
              </w:rPr>
            </w:pPr>
            <w:r w:rsidRPr="00195CCB">
              <w:rPr>
                <w:rFonts w:eastAsia="Times New Roman" w:cs="Calibri"/>
                <w:b/>
                <w:bCs/>
                <w:lang w:eastAsia="en-NZ"/>
              </w:rPr>
              <w:t>7.6%</w:t>
            </w:r>
          </w:p>
        </w:tc>
        <w:tc>
          <w:tcPr>
            <w:tcW w:w="1417" w:type="dxa"/>
            <w:shd w:val="clear" w:color="auto" w:fill="auto"/>
            <w:noWrap/>
            <w:vAlign w:val="bottom"/>
            <w:hideMark/>
          </w:tcPr>
          <w:p w:rsidR="00195CCB" w:rsidRPr="00195CCB" w:rsidRDefault="00195CCB" w:rsidP="00195CCB">
            <w:pPr>
              <w:spacing w:after="0" w:line="240" w:lineRule="auto"/>
              <w:jc w:val="right"/>
              <w:rPr>
                <w:rFonts w:eastAsia="Times New Roman" w:cs="Calibri"/>
                <w:b/>
                <w:bCs/>
                <w:color w:val="000000"/>
                <w:lang w:eastAsia="en-NZ"/>
              </w:rPr>
            </w:pPr>
            <w:r w:rsidRPr="00195CCB">
              <w:rPr>
                <w:rFonts w:eastAsia="Times New Roman" w:cs="Calibri"/>
                <w:b/>
                <w:bCs/>
                <w:color w:val="000000"/>
                <w:lang w:eastAsia="en-NZ"/>
              </w:rPr>
              <w:t>2.8%</w:t>
            </w:r>
          </w:p>
        </w:tc>
        <w:tc>
          <w:tcPr>
            <w:tcW w:w="1495" w:type="dxa"/>
            <w:shd w:val="clear" w:color="auto" w:fill="auto"/>
            <w:noWrap/>
            <w:vAlign w:val="bottom"/>
            <w:hideMark/>
          </w:tcPr>
          <w:p w:rsidR="00195CCB" w:rsidRPr="00195CCB" w:rsidRDefault="00195CCB" w:rsidP="00195CCB">
            <w:pPr>
              <w:spacing w:after="0" w:line="240" w:lineRule="auto"/>
              <w:jc w:val="right"/>
              <w:rPr>
                <w:rFonts w:eastAsia="Times New Roman" w:cs="Calibri"/>
                <w:b/>
                <w:bCs/>
                <w:color w:val="000000"/>
                <w:lang w:eastAsia="en-NZ"/>
              </w:rPr>
            </w:pPr>
            <w:r w:rsidRPr="00195CCB">
              <w:rPr>
                <w:rFonts w:eastAsia="Times New Roman" w:cs="Calibri"/>
                <w:b/>
                <w:bCs/>
                <w:color w:val="000000"/>
                <w:lang w:eastAsia="en-NZ"/>
              </w:rPr>
              <w:t>6.2%</w:t>
            </w:r>
          </w:p>
        </w:tc>
      </w:tr>
      <w:tr w:rsidR="00195CCB" w:rsidRPr="00195CCB" w:rsidTr="00195CCB">
        <w:trPr>
          <w:trHeight w:val="300"/>
        </w:trPr>
        <w:tc>
          <w:tcPr>
            <w:tcW w:w="7242" w:type="dxa"/>
            <w:gridSpan w:val="4"/>
            <w:shd w:val="clear" w:color="auto" w:fill="auto"/>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c>
          <w:tcPr>
            <w:tcW w:w="1417"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c>
          <w:tcPr>
            <w:tcW w:w="1495"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r>
      <w:tr w:rsidR="00195CCB" w:rsidRPr="00195CCB" w:rsidTr="00195CCB">
        <w:trPr>
          <w:trHeight w:val="255"/>
        </w:trPr>
        <w:tc>
          <w:tcPr>
            <w:tcW w:w="7242" w:type="dxa"/>
            <w:gridSpan w:val="4"/>
            <w:shd w:val="clear" w:color="auto" w:fill="auto"/>
            <w:hideMark/>
          </w:tcPr>
          <w:p w:rsidR="00195CCB" w:rsidRPr="00195CCB" w:rsidRDefault="00195CCB" w:rsidP="00195CCB">
            <w:pPr>
              <w:spacing w:after="0" w:line="240" w:lineRule="auto"/>
              <w:rPr>
                <w:rFonts w:ascii="Arial" w:eastAsia="Times New Roman" w:hAnsi="Arial" w:cs="Arial"/>
                <w:b/>
                <w:bCs/>
                <w:color w:val="000000"/>
                <w:sz w:val="20"/>
                <w:szCs w:val="20"/>
                <w:lang w:eastAsia="en-NZ"/>
              </w:rPr>
            </w:pPr>
            <w:r w:rsidRPr="00195CCB">
              <w:rPr>
                <w:rFonts w:ascii="Arial" w:eastAsia="Times New Roman" w:hAnsi="Arial" w:cs="Arial"/>
                <w:b/>
                <w:bCs/>
                <w:color w:val="000000"/>
                <w:sz w:val="20"/>
                <w:szCs w:val="20"/>
                <w:lang w:eastAsia="en-NZ"/>
              </w:rPr>
              <w:t>Notes on the above data:</w:t>
            </w:r>
          </w:p>
        </w:tc>
        <w:tc>
          <w:tcPr>
            <w:tcW w:w="1417"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c>
          <w:tcPr>
            <w:tcW w:w="1495" w:type="dxa"/>
            <w:shd w:val="clear" w:color="auto" w:fill="auto"/>
            <w:noWrap/>
            <w:vAlign w:val="bottom"/>
            <w:hideMark/>
          </w:tcPr>
          <w:p w:rsidR="00195CCB" w:rsidRPr="00195CCB" w:rsidRDefault="00195CCB" w:rsidP="00195CCB">
            <w:pPr>
              <w:spacing w:after="0" w:line="240" w:lineRule="auto"/>
              <w:rPr>
                <w:rFonts w:ascii="Arial" w:eastAsia="Times New Roman" w:hAnsi="Arial" w:cs="Arial"/>
                <w:color w:val="000000"/>
                <w:sz w:val="20"/>
                <w:szCs w:val="20"/>
                <w:lang w:eastAsia="en-NZ"/>
              </w:rPr>
            </w:pPr>
          </w:p>
        </w:tc>
      </w:tr>
      <w:tr w:rsidR="00195CCB" w:rsidRPr="00195CCB" w:rsidTr="00195CCB">
        <w:trPr>
          <w:trHeight w:val="765"/>
        </w:trPr>
        <w:tc>
          <w:tcPr>
            <w:tcW w:w="10154" w:type="dxa"/>
            <w:gridSpan w:val="6"/>
            <w:shd w:val="clear" w:color="auto" w:fill="auto"/>
            <w:hideMark/>
          </w:tcPr>
          <w:p w:rsidR="00195CCB" w:rsidRPr="00195CCB" w:rsidRDefault="00195CCB" w:rsidP="00195CCB">
            <w:pPr>
              <w:spacing w:after="0" w:line="240" w:lineRule="auto"/>
              <w:rPr>
                <w:rFonts w:ascii="Arial" w:eastAsia="Times New Roman" w:hAnsi="Arial" w:cs="Arial"/>
                <w:color w:val="000000"/>
                <w:sz w:val="20"/>
                <w:szCs w:val="20"/>
                <w:lang w:eastAsia="en-NZ"/>
              </w:rPr>
            </w:pPr>
            <w:r w:rsidRPr="00195CCB">
              <w:rPr>
                <w:rFonts w:ascii="Arial" w:eastAsia="Times New Roman" w:hAnsi="Arial" w:cs="Arial"/>
                <w:color w:val="000000"/>
                <w:sz w:val="20"/>
                <w:szCs w:val="20"/>
                <w:lang w:eastAsia="en-NZ"/>
              </w:rPr>
              <w:t xml:space="preserve">1. The information included in the above table is based on the monthly property value index. This index is calculated based on the sales data entered into </w:t>
            </w:r>
            <w:proofErr w:type="spellStart"/>
            <w:r w:rsidRPr="00195CCB">
              <w:rPr>
                <w:rFonts w:ascii="Arial" w:eastAsia="Times New Roman" w:hAnsi="Arial" w:cs="Arial"/>
                <w:color w:val="000000"/>
                <w:sz w:val="20"/>
                <w:szCs w:val="20"/>
                <w:lang w:eastAsia="en-NZ"/>
              </w:rPr>
              <w:t>PropertyIQ's</w:t>
            </w:r>
            <w:proofErr w:type="spellEnd"/>
            <w:r w:rsidRPr="00195CCB">
              <w:rPr>
                <w:rFonts w:ascii="Arial" w:eastAsia="Times New Roman" w:hAnsi="Arial" w:cs="Arial"/>
                <w:color w:val="000000"/>
                <w:sz w:val="20"/>
                <w:szCs w:val="20"/>
                <w:lang w:eastAsia="en-NZ"/>
              </w:rPr>
              <w:t xml:space="preserve"> system in the previous 3 month period. For example, information for the period ending June will be calculated based on sales entered between April 1 and June 30.</w:t>
            </w:r>
          </w:p>
        </w:tc>
      </w:tr>
      <w:tr w:rsidR="00195CCB" w:rsidRPr="00195CCB" w:rsidTr="00195CCB">
        <w:trPr>
          <w:trHeight w:val="765"/>
        </w:trPr>
        <w:tc>
          <w:tcPr>
            <w:tcW w:w="10154" w:type="dxa"/>
            <w:gridSpan w:val="6"/>
            <w:shd w:val="clear" w:color="auto" w:fill="auto"/>
            <w:hideMark/>
          </w:tcPr>
          <w:p w:rsidR="00195CCB" w:rsidRPr="00195CCB" w:rsidRDefault="00195CCB" w:rsidP="00195CCB">
            <w:pPr>
              <w:spacing w:after="0" w:line="240" w:lineRule="auto"/>
              <w:rPr>
                <w:rFonts w:ascii="Arial" w:eastAsia="Times New Roman" w:hAnsi="Arial" w:cs="Arial"/>
                <w:color w:val="000000"/>
                <w:sz w:val="20"/>
                <w:szCs w:val="20"/>
                <w:lang w:eastAsia="en-NZ"/>
              </w:rPr>
            </w:pPr>
            <w:r w:rsidRPr="00195CCB">
              <w:rPr>
                <w:rFonts w:ascii="Arial" w:eastAsia="Times New Roman" w:hAnsi="Arial" w:cs="Arial"/>
                <w:color w:val="000000"/>
                <w:sz w:val="20"/>
                <w:szCs w:val="20"/>
                <w:lang w:eastAsia="en-NZ"/>
              </w:rPr>
              <w:t xml:space="preserve">2. The average current value is the average (mean) value of all developed residential properties in the area based on the latest index. It is not an average or median sales price, as both of </w:t>
            </w:r>
            <w:proofErr w:type="gramStart"/>
            <w:r w:rsidRPr="00195CCB">
              <w:rPr>
                <w:rFonts w:ascii="Arial" w:eastAsia="Times New Roman" w:hAnsi="Arial" w:cs="Arial"/>
                <w:color w:val="000000"/>
                <w:sz w:val="20"/>
                <w:szCs w:val="20"/>
                <w:lang w:eastAsia="en-NZ"/>
              </w:rPr>
              <w:t>those only measure</w:t>
            </w:r>
            <w:proofErr w:type="gramEnd"/>
            <w:r w:rsidRPr="00195CCB">
              <w:rPr>
                <w:rFonts w:ascii="Arial" w:eastAsia="Times New Roman" w:hAnsi="Arial" w:cs="Arial"/>
                <w:color w:val="000000"/>
                <w:sz w:val="20"/>
                <w:szCs w:val="20"/>
                <w:lang w:eastAsia="en-NZ"/>
              </w:rPr>
              <w:t xml:space="preserve"> what happens to have sold in the period.</w:t>
            </w:r>
          </w:p>
        </w:tc>
      </w:tr>
      <w:tr w:rsidR="00195CCB" w:rsidRPr="00195CCB" w:rsidTr="00195CCB">
        <w:trPr>
          <w:trHeight w:val="555"/>
        </w:trPr>
        <w:tc>
          <w:tcPr>
            <w:tcW w:w="10154" w:type="dxa"/>
            <w:gridSpan w:val="6"/>
            <w:shd w:val="clear" w:color="auto" w:fill="auto"/>
            <w:hideMark/>
          </w:tcPr>
          <w:p w:rsidR="00195CCB" w:rsidRPr="00195CCB" w:rsidRDefault="00195CCB" w:rsidP="00195CCB">
            <w:pPr>
              <w:spacing w:after="0" w:line="240" w:lineRule="auto"/>
              <w:rPr>
                <w:rFonts w:ascii="Arial" w:eastAsia="Times New Roman" w:hAnsi="Arial" w:cs="Arial"/>
                <w:color w:val="000000"/>
                <w:sz w:val="20"/>
                <w:szCs w:val="20"/>
                <w:lang w:eastAsia="en-NZ"/>
              </w:rPr>
            </w:pPr>
            <w:r w:rsidRPr="00195CCB">
              <w:rPr>
                <w:rFonts w:ascii="Arial" w:eastAsia="Times New Roman" w:hAnsi="Arial" w:cs="Arial"/>
                <w:color w:val="000000"/>
                <w:sz w:val="20"/>
                <w:szCs w:val="20"/>
                <w:lang w:eastAsia="en-NZ"/>
              </w:rPr>
              <w:t>3.  The percentage change over three months, twelve months and since the 2007 market peak are based on the change in the property value index between that time and the current.</w:t>
            </w:r>
          </w:p>
        </w:tc>
      </w:tr>
      <w:tr w:rsidR="00195CCB" w:rsidRPr="00195CCB" w:rsidTr="00195CCB">
        <w:trPr>
          <w:trHeight w:val="840"/>
        </w:trPr>
        <w:tc>
          <w:tcPr>
            <w:tcW w:w="10154" w:type="dxa"/>
            <w:gridSpan w:val="6"/>
            <w:shd w:val="clear" w:color="auto" w:fill="auto"/>
            <w:hideMark/>
          </w:tcPr>
          <w:p w:rsidR="00195CCB" w:rsidRPr="00195CCB" w:rsidRDefault="00195CCB" w:rsidP="00195CCB">
            <w:pPr>
              <w:spacing w:after="0" w:line="240" w:lineRule="auto"/>
              <w:rPr>
                <w:rFonts w:ascii="Arial" w:eastAsia="Times New Roman" w:hAnsi="Arial" w:cs="Arial"/>
                <w:color w:val="000000"/>
                <w:sz w:val="20"/>
                <w:szCs w:val="20"/>
                <w:lang w:eastAsia="en-NZ"/>
              </w:rPr>
            </w:pPr>
            <w:r w:rsidRPr="00195CCB">
              <w:rPr>
                <w:rFonts w:ascii="Arial" w:eastAsia="Times New Roman" w:hAnsi="Arial" w:cs="Arial"/>
                <w:color w:val="000000"/>
                <w:sz w:val="20"/>
                <w:szCs w:val="20"/>
                <w:lang w:eastAsia="en-NZ"/>
              </w:rPr>
              <w:t>4. Any of the statistical data shown in italics are calculated based on a sample set of data that is less than the recommended minimum. These results should be used with caution. Those showing N/A had too few sales to generate an index</w:t>
            </w:r>
          </w:p>
        </w:tc>
      </w:tr>
    </w:tbl>
    <w:p w:rsidR="00D159B6" w:rsidRDefault="00D159B6" w:rsidP="00D612DB">
      <w:pPr>
        <w:spacing w:after="0" w:line="240" w:lineRule="auto"/>
      </w:pPr>
    </w:p>
    <w:p w:rsidR="00D159B6" w:rsidRDefault="00D159B6" w:rsidP="00D612DB">
      <w:pPr>
        <w:spacing w:after="0" w:line="240" w:lineRule="auto"/>
      </w:pPr>
      <w:r>
        <w:rPr>
          <w:rFonts w:ascii="Arial" w:hAnsi="Arial" w:cs="Arial"/>
          <w:color w:val="222222"/>
          <w:sz w:val="20"/>
          <w:szCs w:val="20"/>
          <w:shd w:val="clear" w:color="auto" w:fill="FFFFFF"/>
        </w:rPr>
        <w:t>With the relaunch of</w:t>
      </w:r>
      <w:r>
        <w:rPr>
          <w:rStyle w:val="apple-converted-space"/>
          <w:rFonts w:ascii="Arial" w:hAnsi="Arial" w:cs="Arial"/>
          <w:color w:val="222222"/>
          <w:sz w:val="20"/>
          <w:szCs w:val="20"/>
          <w:shd w:val="clear" w:color="auto" w:fill="FFFFFF"/>
        </w:rPr>
        <w:t> </w:t>
      </w:r>
      <w:hyperlink r:id="rId14" w:tgtFrame="_blank" w:history="1">
        <w:r>
          <w:rPr>
            <w:rStyle w:val="Hyperlink"/>
            <w:rFonts w:ascii="Arial" w:hAnsi="Arial" w:cs="Arial"/>
            <w:color w:val="1155CC"/>
            <w:sz w:val="20"/>
            <w:szCs w:val="20"/>
            <w:shd w:val="clear" w:color="auto" w:fill="FFFFFF"/>
          </w:rPr>
          <w:t>QV.co.nz</w:t>
        </w:r>
      </w:hyperlink>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xml:space="preserve">comes a new way we have calculated the statistics for Auckland Area.  Auckland Area is now being calculated based on the super city, covering the entire Auckland region.  You can see all the historical data for Auckland Area and how it has tracked over time by using our </w:t>
      </w:r>
      <w:hyperlink r:id="rId15" w:tgtFrame="_blank" w:history="1">
        <w:r>
          <w:rPr>
            <w:rStyle w:val="Hyperlink"/>
            <w:rFonts w:ascii="Arial" w:hAnsi="Arial" w:cs="Arial"/>
            <w:color w:val="1155CC"/>
            <w:sz w:val="20"/>
            <w:szCs w:val="20"/>
            <w:shd w:val="clear" w:color="auto" w:fill="FFFFFF"/>
          </w:rPr>
          <w:t>Monthly Residential Value Index</w:t>
        </w:r>
      </w:hyperlink>
      <w:r>
        <w:rPr>
          <w:rFonts w:ascii="Arial" w:hAnsi="Arial" w:cs="Arial"/>
          <w:color w:val="222222"/>
          <w:sz w:val="20"/>
          <w:szCs w:val="20"/>
          <w:shd w:val="clear" w:color="auto" w:fill="FFFFFF"/>
        </w:rPr>
        <w:t> tool on</w:t>
      </w:r>
      <w:r>
        <w:rPr>
          <w:rStyle w:val="apple-converted-space"/>
          <w:rFonts w:ascii="Arial" w:hAnsi="Arial" w:cs="Arial"/>
          <w:color w:val="222222"/>
          <w:sz w:val="20"/>
          <w:szCs w:val="20"/>
          <w:shd w:val="clear" w:color="auto" w:fill="FFFFFF"/>
        </w:rPr>
        <w:t> </w:t>
      </w:r>
      <w:hyperlink r:id="rId16" w:tgtFrame="_blank" w:history="1">
        <w:r>
          <w:rPr>
            <w:rStyle w:val="Hyperlink"/>
            <w:rFonts w:ascii="Arial" w:hAnsi="Arial" w:cs="Arial"/>
            <w:color w:val="1155CC"/>
            <w:sz w:val="20"/>
            <w:szCs w:val="20"/>
            <w:shd w:val="clear" w:color="auto" w:fill="FFFFFF"/>
          </w:rPr>
          <w:t>QV.co.nz</w:t>
        </w:r>
      </w:hyperlink>
      <w:r>
        <w:rPr>
          <w:rFonts w:ascii="Arial" w:hAnsi="Arial" w:cs="Arial"/>
          <w:color w:val="222222"/>
          <w:sz w:val="20"/>
          <w:szCs w:val="20"/>
          <w:shd w:val="clear" w:color="auto" w:fill="FFFFFF"/>
        </w:rPr>
        <w:t>.</w:t>
      </w:r>
    </w:p>
    <w:sectPr w:rsidR="00D159B6" w:rsidSect="00661390">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275"/>
    <w:multiLevelType w:val="hybridMultilevel"/>
    <w:tmpl w:val="CD4092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B614164"/>
    <w:multiLevelType w:val="hybridMultilevel"/>
    <w:tmpl w:val="A8AC4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E6F222C"/>
    <w:multiLevelType w:val="hybridMultilevel"/>
    <w:tmpl w:val="3BB859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6AA67F0"/>
    <w:multiLevelType w:val="hybridMultilevel"/>
    <w:tmpl w:val="99DE6FA4"/>
    <w:lvl w:ilvl="0" w:tplc="3D2C3C96">
      <w:numFmt w:val="bullet"/>
      <w:lvlText w:val="·"/>
      <w:lvlJc w:val="left"/>
      <w:pPr>
        <w:ind w:left="855" w:hanging="495"/>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47259C1"/>
    <w:multiLevelType w:val="hybridMultilevel"/>
    <w:tmpl w:val="13C48C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66144B1F"/>
    <w:multiLevelType w:val="hybridMultilevel"/>
    <w:tmpl w:val="67583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90F29E6"/>
    <w:multiLevelType w:val="hybridMultilevel"/>
    <w:tmpl w:val="3CBC87D2"/>
    <w:lvl w:ilvl="0" w:tplc="74D46CD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2D4221"/>
    <w:rsid w:val="000050F0"/>
    <w:rsid w:val="00005B6D"/>
    <w:rsid w:val="00006846"/>
    <w:rsid w:val="00007F9D"/>
    <w:rsid w:val="00014DD5"/>
    <w:rsid w:val="000163D2"/>
    <w:rsid w:val="00016FEE"/>
    <w:rsid w:val="000214CA"/>
    <w:rsid w:val="000271DC"/>
    <w:rsid w:val="00027B27"/>
    <w:rsid w:val="00031B27"/>
    <w:rsid w:val="00035914"/>
    <w:rsid w:val="0003737F"/>
    <w:rsid w:val="0004514C"/>
    <w:rsid w:val="000456CF"/>
    <w:rsid w:val="00045F58"/>
    <w:rsid w:val="00047456"/>
    <w:rsid w:val="00050256"/>
    <w:rsid w:val="000507BC"/>
    <w:rsid w:val="000534A3"/>
    <w:rsid w:val="0006250A"/>
    <w:rsid w:val="00066E0D"/>
    <w:rsid w:val="00073A93"/>
    <w:rsid w:val="00075034"/>
    <w:rsid w:val="00080607"/>
    <w:rsid w:val="00081156"/>
    <w:rsid w:val="00081E5E"/>
    <w:rsid w:val="000834A2"/>
    <w:rsid w:val="00086027"/>
    <w:rsid w:val="00092518"/>
    <w:rsid w:val="00092AE6"/>
    <w:rsid w:val="00093297"/>
    <w:rsid w:val="00094231"/>
    <w:rsid w:val="00097374"/>
    <w:rsid w:val="0009757A"/>
    <w:rsid w:val="000A50C4"/>
    <w:rsid w:val="000A697D"/>
    <w:rsid w:val="000A761E"/>
    <w:rsid w:val="000A774B"/>
    <w:rsid w:val="000B331B"/>
    <w:rsid w:val="000B372C"/>
    <w:rsid w:val="000B6462"/>
    <w:rsid w:val="000B65FC"/>
    <w:rsid w:val="000B7CD2"/>
    <w:rsid w:val="000C1445"/>
    <w:rsid w:val="000C4DDD"/>
    <w:rsid w:val="000D19C3"/>
    <w:rsid w:val="000D3918"/>
    <w:rsid w:val="000D3C4B"/>
    <w:rsid w:val="000D740D"/>
    <w:rsid w:val="000E1532"/>
    <w:rsid w:val="000E7ED4"/>
    <w:rsid w:val="000F5CCC"/>
    <w:rsid w:val="000F7C0F"/>
    <w:rsid w:val="000F7CC2"/>
    <w:rsid w:val="00106CB2"/>
    <w:rsid w:val="00110B5C"/>
    <w:rsid w:val="00111B71"/>
    <w:rsid w:val="00113A7B"/>
    <w:rsid w:val="00114E95"/>
    <w:rsid w:val="00115BE7"/>
    <w:rsid w:val="001178B0"/>
    <w:rsid w:val="00121D9F"/>
    <w:rsid w:val="00123D98"/>
    <w:rsid w:val="00124148"/>
    <w:rsid w:val="00125EE5"/>
    <w:rsid w:val="00126A59"/>
    <w:rsid w:val="00126EF9"/>
    <w:rsid w:val="00127352"/>
    <w:rsid w:val="001345C7"/>
    <w:rsid w:val="00136B25"/>
    <w:rsid w:val="0014530B"/>
    <w:rsid w:val="0014723D"/>
    <w:rsid w:val="001474AC"/>
    <w:rsid w:val="0015052C"/>
    <w:rsid w:val="0015280A"/>
    <w:rsid w:val="00153CFC"/>
    <w:rsid w:val="001558BE"/>
    <w:rsid w:val="00155C2E"/>
    <w:rsid w:val="00156402"/>
    <w:rsid w:val="00164BA6"/>
    <w:rsid w:val="00165BE1"/>
    <w:rsid w:val="001671E8"/>
    <w:rsid w:val="001805EA"/>
    <w:rsid w:val="00181141"/>
    <w:rsid w:val="00184A70"/>
    <w:rsid w:val="0018717B"/>
    <w:rsid w:val="00191785"/>
    <w:rsid w:val="00193B66"/>
    <w:rsid w:val="00194009"/>
    <w:rsid w:val="00194436"/>
    <w:rsid w:val="001959EB"/>
    <w:rsid w:val="00195CCB"/>
    <w:rsid w:val="001A0DCD"/>
    <w:rsid w:val="001A0FFB"/>
    <w:rsid w:val="001A2622"/>
    <w:rsid w:val="001A2CC2"/>
    <w:rsid w:val="001A4C46"/>
    <w:rsid w:val="001A5C76"/>
    <w:rsid w:val="001B0A94"/>
    <w:rsid w:val="001B1A19"/>
    <w:rsid w:val="001B6C3F"/>
    <w:rsid w:val="001B7F73"/>
    <w:rsid w:val="001C1153"/>
    <w:rsid w:val="001C3538"/>
    <w:rsid w:val="001C400D"/>
    <w:rsid w:val="001C61CF"/>
    <w:rsid w:val="001D1BE5"/>
    <w:rsid w:val="001D7DFF"/>
    <w:rsid w:val="001E5F70"/>
    <w:rsid w:val="001F1837"/>
    <w:rsid w:val="001F6A79"/>
    <w:rsid w:val="00207AF3"/>
    <w:rsid w:val="002111DB"/>
    <w:rsid w:val="00211995"/>
    <w:rsid w:val="00211D2B"/>
    <w:rsid w:val="00216B02"/>
    <w:rsid w:val="00221616"/>
    <w:rsid w:val="00222649"/>
    <w:rsid w:val="0023172C"/>
    <w:rsid w:val="00232259"/>
    <w:rsid w:val="00233ACD"/>
    <w:rsid w:val="002343C8"/>
    <w:rsid w:val="002407E0"/>
    <w:rsid w:val="00241704"/>
    <w:rsid w:val="002421F6"/>
    <w:rsid w:val="00242FC2"/>
    <w:rsid w:val="0024384A"/>
    <w:rsid w:val="0024480B"/>
    <w:rsid w:val="00244D66"/>
    <w:rsid w:val="00244F68"/>
    <w:rsid w:val="00245F3B"/>
    <w:rsid w:val="00247066"/>
    <w:rsid w:val="00250FB8"/>
    <w:rsid w:val="002529BF"/>
    <w:rsid w:val="00256AEB"/>
    <w:rsid w:val="00263267"/>
    <w:rsid w:val="00264FBE"/>
    <w:rsid w:val="00266E33"/>
    <w:rsid w:val="00267393"/>
    <w:rsid w:val="00272502"/>
    <w:rsid w:val="00273AB1"/>
    <w:rsid w:val="00274A2D"/>
    <w:rsid w:val="00280BD2"/>
    <w:rsid w:val="00282980"/>
    <w:rsid w:val="002850D4"/>
    <w:rsid w:val="002860B3"/>
    <w:rsid w:val="00296D07"/>
    <w:rsid w:val="002A125F"/>
    <w:rsid w:val="002A3FB8"/>
    <w:rsid w:val="002B0789"/>
    <w:rsid w:val="002B32D9"/>
    <w:rsid w:val="002B74E3"/>
    <w:rsid w:val="002C0CCC"/>
    <w:rsid w:val="002C1149"/>
    <w:rsid w:val="002C7C62"/>
    <w:rsid w:val="002D0ADB"/>
    <w:rsid w:val="002D4221"/>
    <w:rsid w:val="002D425E"/>
    <w:rsid w:val="002E4391"/>
    <w:rsid w:val="002F43C8"/>
    <w:rsid w:val="002F4897"/>
    <w:rsid w:val="002F5BD7"/>
    <w:rsid w:val="002F7C75"/>
    <w:rsid w:val="00301B94"/>
    <w:rsid w:val="00302D14"/>
    <w:rsid w:val="00305626"/>
    <w:rsid w:val="003131DE"/>
    <w:rsid w:val="003132E2"/>
    <w:rsid w:val="00314E4B"/>
    <w:rsid w:val="00315988"/>
    <w:rsid w:val="00316861"/>
    <w:rsid w:val="00316F9D"/>
    <w:rsid w:val="0031790E"/>
    <w:rsid w:val="00320C14"/>
    <w:rsid w:val="00320ECB"/>
    <w:rsid w:val="00321E65"/>
    <w:rsid w:val="00322F1F"/>
    <w:rsid w:val="00325B01"/>
    <w:rsid w:val="00325E15"/>
    <w:rsid w:val="003263DD"/>
    <w:rsid w:val="00327D1C"/>
    <w:rsid w:val="003301AF"/>
    <w:rsid w:val="003312E7"/>
    <w:rsid w:val="003314D3"/>
    <w:rsid w:val="00331715"/>
    <w:rsid w:val="00336F39"/>
    <w:rsid w:val="003411FA"/>
    <w:rsid w:val="00343A64"/>
    <w:rsid w:val="00344D2D"/>
    <w:rsid w:val="00351654"/>
    <w:rsid w:val="0035196E"/>
    <w:rsid w:val="00351B45"/>
    <w:rsid w:val="00354F07"/>
    <w:rsid w:val="00356AB1"/>
    <w:rsid w:val="003575A5"/>
    <w:rsid w:val="00357E9B"/>
    <w:rsid w:val="00361DB6"/>
    <w:rsid w:val="00366EA0"/>
    <w:rsid w:val="0037740C"/>
    <w:rsid w:val="00385471"/>
    <w:rsid w:val="0039380B"/>
    <w:rsid w:val="003939CF"/>
    <w:rsid w:val="00394B8B"/>
    <w:rsid w:val="00395115"/>
    <w:rsid w:val="003958FE"/>
    <w:rsid w:val="00397C97"/>
    <w:rsid w:val="003A08AB"/>
    <w:rsid w:val="003A265C"/>
    <w:rsid w:val="003A5E90"/>
    <w:rsid w:val="003A7E5E"/>
    <w:rsid w:val="003B0448"/>
    <w:rsid w:val="003B0F17"/>
    <w:rsid w:val="003B26B2"/>
    <w:rsid w:val="003B378C"/>
    <w:rsid w:val="003B3B29"/>
    <w:rsid w:val="003C1418"/>
    <w:rsid w:val="003C4A77"/>
    <w:rsid w:val="003C5492"/>
    <w:rsid w:val="003D2095"/>
    <w:rsid w:val="003D2E08"/>
    <w:rsid w:val="003D71C3"/>
    <w:rsid w:val="003D7BE5"/>
    <w:rsid w:val="003E00DB"/>
    <w:rsid w:val="003E4A7A"/>
    <w:rsid w:val="003E6E33"/>
    <w:rsid w:val="003F0CF6"/>
    <w:rsid w:val="003F37D0"/>
    <w:rsid w:val="003F766D"/>
    <w:rsid w:val="0040011C"/>
    <w:rsid w:val="004007F2"/>
    <w:rsid w:val="004014C4"/>
    <w:rsid w:val="004024A6"/>
    <w:rsid w:val="004076E4"/>
    <w:rsid w:val="00407F3C"/>
    <w:rsid w:val="00410A23"/>
    <w:rsid w:val="004112FE"/>
    <w:rsid w:val="004137C5"/>
    <w:rsid w:val="00414FF3"/>
    <w:rsid w:val="00424A76"/>
    <w:rsid w:val="00426631"/>
    <w:rsid w:val="00426E65"/>
    <w:rsid w:val="0043715F"/>
    <w:rsid w:val="00442230"/>
    <w:rsid w:val="00446931"/>
    <w:rsid w:val="00447387"/>
    <w:rsid w:val="004526D2"/>
    <w:rsid w:val="004539F9"/>
    <w:rsid w:val="00464E22"/>
    <w:rsid w:val="00465A77"/>
    <w:rsid w:val="004723E7"/>
    <w:rsid w:val="00473EE7"/>
    <w:rsid w:val="00477D89"/>
    <w:rsid w:val="00481070"/>
    <w:rsid w:val="00481934"/>
    <w:rsid w:val="00490CE8"/>
    <w:rsid w:val="004939F5"/>
    <w:rsid w:val="00493BD4"/>
    <w:rsid w:val="00494951"/>
    <w:rsid w:val="00497794"/>
    <w:rsid w:val="004A0135"/>
    <w:rsid w:val="004A20AF"/>
    <w:rsid w:val="004A26B4"/>
    <w:rsid w:val="004A4770"/>
    <w:rsid w:val="004A51A4"/>
    <w:rsid w:val="004A7827"/>
    <w:rsid w:val="004B1479"/>
    <w:rsid w:val="004B1992"/>
    <w:rsid w:val="004B3D4C"/>
    <w:rsid w:val="004B4385"/>
    <w:rsid w:val="004B58C9"/>
    <w:rsid w:val="004B63AD"/>
    <w:rsid w:val="004B6924"/>
    <w:rsid w:val="004C0C1F"/>
    <w:rsid w:val="004C22D0"/>
    <w:rsid w:val="004C2BD5"/>
    <w:rsid w:val="004C3C75"/>
    <w:rsid w:val="004C529B"/>
    <w:rsid w:val="004C7550"/>
    <w:rsid w:val="004D104E"/>
    <w:rsid w:val="004D2794"/>
    <w:rsid w:val="004D57C7"/>
    <w:rsid w:val="004E1630"/>
    <w:rsid w:val="004E24FA"/>
    <w:rsid w:val="004F2318"/>
    <w:rsid w:val="00500E76"/>
    <w:rsid w:val="00503E39"/>
    <w:rsid w:val="0050647C"/>
    <w:rsid w:val="005064DA"/>
    <w:rsid w:val="00507728"/>
    <w:rsid w:val="00512A93"/>
    <w:rsid w:val="00512FEB"/>
    <w:rsid w:val="005142EA"/>
    <w:rsid w:val="005214E2"/>
    <w:rsid w:val="00521D45"/>
    <w:rsid w:val="00526638"/>
    <w:rsid w:val="00531BDC"/>
    <w:rsid w:val="005350E8"/>
    <w:rsid w:val="0053635E"/>
    <w:rsid w:val="00536749"/>
    <w:rsid w:val="00536941"/>
    <w:rsid w:val="005376EA"/>
    <w:rsid w:val="0054126C"/>
    <w:rsid w:val="00545336"/>
    <w:rsid w:val="005459C3"/>
    <w:rsid w:val="00545C25"/>
    <w:rsid w:val="00553CB7"/>
    <w:rsid w:val="005541AA"/>
    <w:rsid w:val="00556796"/>
    <w:rsid w:val="0056099F"/>
    <w:rsid w:val="00560ADE"/>
    <w:rsid w:val="00560D87"/>
    <w:rsid w:val="00561AC3"/>
    <w:rsid w:val="00562F82"/>
    <w:rsid w:val="00566A54"/>
    <w:rsid w:val="00570411"/>
    <w:rsid w:val="00573D9E"/>
    <w:rsid w:val="00576D39"/>
    <w:rsid w:val="00577483"/>
    <w:rsid w:val="00580594"/>
    <w:rsid w:val="005862F0"/>
    <w:rsid w:val="00595EBA"/>
    <w:rsid w:val="005977D9"/>
    <w:rsid w:val="005A1830"/>
    <w:rsid w:val="005A20CE"/>
    <w:rsid w:val="005B05EB"/>
    <w:rsid w:val="005B166B"/>
    <w:rsid w:val="005C110B"/>
    <w:rsid w:val="005C23EC"/>
    <w:rsid w:val="005D39DB"/>
    <w:rsid w:val="005D3C5E"/>
    <w:rsid w:val="005D50B1"/>
    <w:rsid w:val="005F3BAF"/>
    <w:rsid w:val="005F4535"/>
    <w:rsid w:val="005F5816"/>
    <w:rsid w:val="006000E3"/>
    <w:rsid w:val="0060353F"/>
    <w:rsid w:val="00606C3B"/>
    <w:rsid w:val="006079A8"/>
    <w:rsid w:val="006104B0"/>
    <w:rsid w:val="0061589A"/>
    <w:rsid w:val="00620411"/>
    <w:rsid w:val="00620BAD"/>
    <w:rsid w:val="0062398C"/>
    <w:rsid w:val="0062496E"/>
    <w:rsid w:val="0062667C"/>
    <w:rsid w:val="00630158"/>
    <w:rsid w:val="00631B7D"/>
    <w:rsid w:val="006323EA"/>
    <w:rsid w:val="00634650"/>
    <w:rsid w:val="006358BB"/>
    <w:rsid w:val="00635E7C"/>
    <w:rsid w:val="00637A97"/>
    <w:rsid w:val="0064007A"/>
    <w:rsid w:val="00640591"/>
    <w:rsid w:val="006405D0"/>
    <w:rsid w:val="00642249"/>
    <w:rsid w:val="006450E7"/>
    <w:rsid w:val="00646270"/>
    <w:rsid w:val="00647422"/>
    <w:rsid w:val="006523B2"/>
    <w:rsid w:val="00654470"/>
    <w:rsid w:val="006544E3"/>
    <w:rsid w:val="00655F4B"/>
    <w:rsid w:val="00657E93"/>
    <w:rsid w:val="00661390"/>
    <w:rsid w:val="00661A7D"/>
    <w:rsid w:val="0066623E"/>
    <w:rsid w:val="006671D1"/>
    <w:rsid w:val="0066773F"/>
    <w:rsid w:val="0067015E"/>
    <w:rsid w:val="006711A3"/>
    <w:rsid w:val="006777FE"/>
    <w:rsid w:val="006808EA"/>
    <w:rsid w:val="00681235"/>
    <w:rsid w:val="00682CA1"/>
    <w:rsid w:val="00684A2B"/>
    <w:rsid w:val="006850DB"/>
    <w:rsid w:val="00690F4E"/>
    <w:rsid w:val="0069176E"/>
    <w:rsid w:val="006965AD"/>
    <w:rsid w:val="006A276C"/>
    <w:rsid w:val="006A7A03"/>
    <w:rsid w:val="006B0A97"/>
    <w:rsid w:val="006B4912"/>
    <w:rsid w:val="006B6350"/>
    <w:rsid w:val="006B723E"/>
    <w:rsid w:val="006C0F63"/>
    <w:rsid w:val="006C21AE"/>
    <w:rsid w:val="006C6DAA"/>
    <w:rsid w:val="006D09A7"/>
    <w:rsid w:val="006D482F"/>
    <w:rsid w:val="006D5E8D"/>
    <w:rsid w:val="006E04CF"/>
    <w:rsid w:val="006E17BD"/>
    <w:rsid w:val="006E6DAD"/>
    <w:rsid w:val="006F321D"/>
    <w:rsid w:val="006F750D"/>
    <w:rsid w:val="007001D3"/>
    <w:rsid w:val="00700352"/>
    <w:rsid w:val="00703969"/>
    <w:rsid w:val="007048B0"/>
    <w:rsid w:val="00705656"/>
    <w:rsid w:val="00707D9D"/>
    <w:rsid w:val="007114B8"/>
    <w:rsid w:val="00714495"/>
    <w:rsid w:val="00714AA9"/>
    <w:rsid w:val="00717A4B"/>
    <w:rsid w:val="00717ED3"/>
    <w:rsid w:val="007216CF"/>
    <w:rsid w:val="00724E81"/>
    <w:rsid w:val="00726036"/>
    <w:rsid w:val="00730A84"/>
    <w:rsid w:val="00731222"/>
    <w:rsid w:val="007353D1"/>
    <w:rsid w:val="0073704E"/>
    <w:rsid w:val="00741CCB"/>
    <w:rsid w:val="00741D2F"/>
    <w:rsid w:val="007466DC"/>
    <w:rsid w:val="00750588"/>
    <w:rsid w:val="00751917"/>
    <w:rsid w:val="00751F83"/>
    <w:rsid w:val="00752A0C"/>
    <w:rsid w:val="00752A91"/>
    <w:rsid w:val="00753162"/>
    <w:rsid w:val="007537D5"/>
    <w:rsid w:val="00753855"/>
    <w:rsid w:val="0075497E"/>
    <w:rsid w:val="007718D7"/>
    <w:rsid w:val="00773A8D"/>
    <w:rsid w:val="00773C02"/>
    <w:rsid w:val="00776015"/>
    <w:rsid w:val="00777C50"/>
    <w:rsid w:val="007831A1"/>
    <w:rsid w:val="00783B98"/>
    <w:rsid w:val="00784973"/>
    <w:rsid w:val="00785E5A"/>
    <w:rsid w:val="00787E20"/>
    <w:rsid w:val="00792EAE"/>
    <w:rsid w:val="00795D35"/>
    <w:rsid w:val="00796C25"/>
    <w:rsid w:val="007A0349"/>
    <w:rsid w:val="007A46EE"/>
    <w:rsid w:val="007A70F2"/>
    <w:rsid w:val="007B1E2D"/>
    <w:rsid w:val="007B4976"/>
    <w:rsid w:val="007C1881"/>
    <w:rsid w:val="007C2FA4"/>
    <w:rsid w:val="007C3155"/>
    <w:rsid w:val="007C6863"/>
    <w:rsid w:val="007D3480"/>
    <w:rsid w:val="007D38F5"/>
    <w:rsid w:val="007D5677"/>
    <w:rsid w:val="007D6FD0"/>
    <w:rsid w:val="007E07BB"/>
    <w:rsid w:val="007E3E4E"/>
    <w:rsid w:val="007F044B"/>
    <w:rsid w:val="007F36B4"/>
    <w:rsid w:val="007F4339"/>
    <w:rsid w:val="007F4CEE"/>
    <w:rsid w:val="007F7859"/>
    <w:rsid w:val="007F7D9C"/>
    <w:rsid w:val="008011CE"/>
    <w:rsid w:val="008014C4"/>
    <w:rsid w:val="00806C29"/>
    <w:rsid w:val="008114C6"/>
    <w:rsid w:val="00811F69"/>
    <w:rsid w:val="0081784C"/>
    <w:rsid w:val="00821BB7"/>
    <w:rsid w:val="00827C1E"/>
    <w:rsid w:val="00831F25"/>
    <w:rsid w:val="00836724"/>
    <w:rsid w:val="00841D33"/>
    <w:rsid w:val="00847121"/>
    <w:rsid w:val="00850575"/>
    <w:rsid w:val="0085502F"/>
    <w:rsid w:val="00855C39"/>
    <w:rsid w:val="00862FED"/>
    <w:rsid w:val="00864F63"/>
    <w:rsid w:val="0087327B"/>
    <w:rsid w:val="00874764"/>
    <w:rsid w:val="00877CB9"/>
    <w:rsid w:val="00877D82"/>
    <w:rsid w:val="00883E6D"/>
    <w:rsid w:val="00885646"/>
    <w:rsid w:val="0088688B"/>
    <w:rsid w:val="0089477D"/>
    <w:rsid w:val="00897A49"/>
    <w:rsid w:val="008A2E1D"/>
    <w:rsid w:val="008A3215"/>
    <w:rsid w:val="008B0291"/>
    <w:rsid w:val="008B0C31"/>
    <w:rsid w:val="008C0C0F"/>
    <w:rsid w:val="008C3AA7"/>
    <w:rsid w:val="008C5625"/>
    <w:rsid w:val="008C6DD1"/>
    <w:rsid w:val="008C7141"/>
    <w:rsid w:val="008D3855"/>
    <w:rsid w:val="008D65E7"/>
    <w:rsid w:val="008D78F4"/>
    <w:rsid w:val="008E0837"/>
    <w:rsid w:val="008E0BCB"/>
    <w:rsid w:val="008E2AD2"/>
    <w:rsid w:val="008E33D3"/>
    <w:rsid w:val="008E5FFD"/>
    <w:rsid w:val="008E6975"/>
    <w:rsid w:val="008E724F"/>
    <w:rsid w:val="008F0D15"/>
    <w:rsid w:val="008F52BF"/>
    <w:rsid w:val="008F7C63"/>
    <w:rsid w:val="008F7E0F"/>
    <w:rsid w:val="00910438"/>
    <w:rsid w:val="0091096D"/>
    <w:rsid w:val="009109C3"/>
    <w:rsid w:val="00910B79"/>
    <w:rsid w:val="00911A02"/>
    <w:rsid w:val="00911BAD"/>
    <w:rsid w:val="009145AE"/>
    <w:rsid w:val="00915338"/>
    <w:rsid w:val="009167ED"/>
    <w:rsid w:val="009226A6"/>
    <w:rsid w:val="00930936"/>
    <w:rsid w:val="00932E37"/>
    <w:rsid w:val="009337ED"/>
    <w:rsid w:val="00935C15"/>
    <w:rsid w:val="0093688D"/>
    <w:rsid w:val="00936E35"/>
    <w:rsid w:val="00937512"/>
    <w:rsid w:val="0093754B"/>
    <w:rsid w:val="00947C93"/>
    <w:rsid w:val="00953906"/>
    <w:rsid w:val="00953AF4"/>
    <w:rsid w:val="00960AE5"/>
    <w:rsid w:val="009644B2"/>
    <w:rsid w:val="0096761B"/>
    <w:rsid w:val="00967FB0"/>
    <w:rsid w:val="0097219F"/>
    <w:rsid w:val="00975B4F"/>
    <w:rsid w:val="00976A18"/>
    <w:rsid w:val="00976D13"/>
    <w:rsid w:val="00980C60"/>
    <w:rsid w:val="00981262"/>
    <w:rsid w:val="009833FB"/>
    <w:rsid w:val="00984A4E"/>
    <w:rsid w:val="00986413"/>
    <w:rsid w:val="00996F72"/>
    <w:rsid w:val="00997117"/>
    <w:rsid w:val="009A0AD3"/>
    <w:rsid w:val="009A39FB"/>
    <w:rsid w:val="009A44D3"/>
    <w:rsid w:val="009A7636"/>
    <w:rsid w:val="009B1626"/>
    <w:rsid w:val="009B406D"/>
    <w:rsid w:val="009B5F35"/>
    <w:rsid w:val="009B7154"/>
    <w:rsid w:val="009B79BD"/>
    <w:rsid w:val="009C1D51"/>
    <w:rsid w:val="009C5A76"/>
    <w:rsid w:val="009D0720"/>
    <w:rsid w:val="009E1E4A"/>
    <w:rsid w:val="00A0261D"/>
    <w:rsid w:val="00A03F16"/>
    <w:rsid w:val="00A131EE"/>
    <w:rsid w:val="00A13325"/>
    <w:rsid w:val="00A15CFA"/>
    <w:rsid w:val="00A15ED8"/>
    <w:rsid w:val="00A2014D"/>
    <w:rsid w:val="00A205FE"/>
    <w:rsid w:val="00A20CD3"/>
    <w:rsid w:val="00A211EE"/>
    <w:rsid w:val="00A2187B"/>
    <w:rsid w:val="00A238CE"/>
    <w:rsid w:val="00A23EDD"/>
    <w:rsid w:val="00A251CB"/>
    <w:rsid w:val="00A268C2"/>
    <w:rsid w:val="00A32A0B"/>
    <w:rsid w:val="00A32D95"/>
    <w:rsid w:val="00A348F9"/>
    <w:rsid w:val="00A36E6D"/>
    <w:rsid w:val="00A37AD6"/>
    <w:rsid w:val="00A47C11"/>
    <w:rsid w:val="00A501D5"/>
    <w:rsid w:val="00A50253"/>
    <w:rsid w:val="00A50583"/>
    <w:rsid w:val="00A51A55"/>
    <w:rsid w:val="00A527B2"/>
    <w:rsid w:val="00A52C55"/>
    <w:rsid w:val="00A541B9"/>
    <w:rsid w:val="00A67FFD"/>
    <w:rsid w:val="00A704FE"/>
    <w:rsid w:val="00A73D0E"/>
    <w:rsid w:val="00A751FC"/>
    <w:rsid w:val="00A800BB"/>
    <w:rsid w:val="00A83774"/>
    <w:rsid w:val="00A90295"/>
    <w:rsid w:val="00A9144E"/>
    <w:rsid w:val="00A938D4"/>
    <w:rsid w:val="00A959B5"/>
    <w:rsid w:val="00AA52DA"/>
    <w:rsid w:val="00AA57C3"/>
    <w:rsid w:val="00AB0491"/>
    <w:rsid w:val="00AB2D14"/>
    <w:rsid w:val="00AB4F5C"/>
    <w:rsid w:val="00AB7684"/>
    <w:rsid w:val="00AC2552"/>
    <w:rsid w:val="00AC2608"/>
    <w:rsid w:val="00AC2865"/>
    <w:rsid w:val="00AC2980"/>
    <w:rsid w:val="00AC29A7"/>
    <w:rsid w:val="00AC57D4"/>
    <w:rsid w:val="00AD04D6"/>
    <w:rsid w:val="00AD3FF1"/>
    <w:rsid w:val="00AD4CD4"/>
    <w:rsid w:val="00AE2800"/>
    <w:rsid w:val="00AE7CB4"/>
    <w:rsid w:val="00AF116C"/>
    <w:rsid w:val="00AF361D"/>
    <w:rsid w:val="00AF5307"/>
    <w:rsid w:val="00B00048"/>
    <w:rsid w:val="00B0339C"/>
    <w:rsid w:val="00B048F2"/>
    <w:rsid w:val="00B079C9"/>
    <w:rsid w:val="00B11C1D"/>
    <w:rsid w:val="00B20736"/>
    <w:rsid w:val="00B222E6"/>
    <w:rsid w:val="00B30C15"/>
    <w:rsid w:val="00B31928"/>
    <w:rsid w:val="00B32471"/>
    <w:rsid w:val="00B3267D"/>
    <w:rsid w:val="00B326F3"/>
    <w:rsid w:val="00B33060"/>
    <w:rsid w:val="00B35F86"/>
    <w:rsid w:val="00B362B7"/>
    <w:rsid w:val="00B3646E"/>
    <w:rsid w:val="00B40D58"/>
    <w:rsid w:val="00B41088"/>
    <w:rsid w:val="00B46A36"/>
    <w:rsid w:val="00B532FF"/>
    <w:rsid w:val="00B54111"/>
    <w:rsid w:val="00B550EC"/>
    <w:rsid w:val="00B55772"/>
    <w:rsid w:val="00B60E5D"/>
    <w:rsid w:val="00B641C5"/>
    <w:rsid w:val="00B65841"/>
    <w:rsid w:val="00B719AB"/>
    <w:rsid w:val="00B7396A"/>
    <w:rsid w:val="00B74F91"/>
    <w:rsid w:val="00B7778C"/>
    <w:rsid w:val="00B82B52"/>
    <w:rsid w:val="00B82EF2"/>
    <w:rsid w:val="00B9029F"/>
    <w:rsid w:val="00B9065E"/>
    <w:rsid w:val="00B95683"/>
    <w:rsid w:val="00B9580C"/>
    <w:rsid w:val="00B96B6C"/>
    <w:rsid w:val="00BA186F"/>
    <w:rsid w:val="00BA1C3E"/>
    <w:rsid w:val="00BA2AB7"/>
    <w:rsid w:val="00BB5768"/>
    <w:rsid w:val="00BC1524"/>
    <w:rsid w:val="00BC211A"/>
    <w:rsid w:val="00BC3E4C"/>
    <w:rsid w:val="00BC514D"/>
    <w:rsid w:val="00BC5B66"/>
    <w:rsid w:val="00BD384D"/>
    <w:rsid w:val="00BE07AD"/>
    <w:rsid w:val="00BF0047"/>
    <w:rsid w:val="00BF170C"/>
    <w:rsid w:val="00BF493B"/>
    <w:rsid w:val="00C0252A"/>
    <w:rsid w:val="00C0367C"/>
    <w:rsid w:val="00C16052"/>
    <w:rsid w:val="00C160A0"/>
    <w:rsid w:val="00C2479A"/>
    <w:rsid w:val="00C306A1"/>
    <w:rsid w:val="00C3603F"/>
    <w:rsid w:val="00C3622A"/>
    <w:rsid w:val="00C400C5"/>
    <w:rsid w:val="00C40111"/>
    <w:rsid w:val="00C461D7"/>
    <w:rsid w:val="00C50DFC"/>
    <w:rsid w:val="00C517CD"/>
    <w:rsid w:val="00C51E28"/>
    <w:rsid w:val="00C541D4"/>
    <w:rsid w:val="00C5578F"/>
    <w:rsid w:val="00C57EF2"/>
    <w:rsid w:val="00C60752"/>
    <w:rsid w:val="00C64BD2"/>
    <w:rsid w:val="00C6744E"/>
    <w:rsid w:val="00C72E0B"/>
    <w:rsid w:val="00C73913"/>
    <w:rsid w:val="00C73F61"/>
    <w:rsid w:val="00C756B2"/>
    <w:rsid w:val="00C76592"/>
    <w:rsid w:val="00C76B62"/>
    <w:rsid w:val="00C77B85"/>
    <w:rsid w:val="00C804DF"/>
    <w:rsid w:val="00C805AA"/>
    <w:rsid w:val="00C8211A"/>
    <w:rsid w:val="00C82F35"/>
    <w:rsid w:val="00C82FDD"/>
    <w:rsid w:val="00C83B54"/>
    <w:rsid w:val="00C942E3"/>
    <w:rsid w:val="00CA06D3"/>
    <w:rsid w:val="00CA0FB8"/>
    <w:rsid w:val="00CA5FD1"/>
    <w:rsid w:val="00CA6FF8"/>
    <w:rsid w:val="00CB0B47"/>
    <w:rsid w:val="00CB210F"/>
    <w:rsid w:val="00CB4ADF"/>
    <w:rsid w:val="00CB6840"/>
    <w:rsid w:val="00CC0452"/>
    <w:rsid w:val="00CC0DF1"/>
    <w:rsid w:val="00CC0F43"/>
    <w:rsid w:val="00CC1462"/>
    <w:rsid w:val="00CC45E1"/>
    <w:rsid w:val="00CC5619"/>
    <w:rsid w:val="00CD1094"/>
    <w:rsid w:val="00CD114A"/>
    <w:rsid w:val="00CD62BB"/>
    <w:rsid w:val="00CD6792"/>
    <w:rsid w:val="00CE1F6C"/>
    <w:rsid w:val="00CE209B"/>
    <w:rsid w:val="00CE7470"/>
    <w:rsid w:val="00CE77DA"/>
    <w:rsid w:val="00CF0BA1"/>
    <w:rsid w:val="00CF3E52"/>
    <w:rsid w:val="00CF46D2"/>
    <w:rsid w:val="00D0225A"/>
    <w:rsid w:val="00D06509"/>
    <w:rsid w:val="00D07347"/>
    <w:rsid w:val="00D07936"/>
    <w:rsid w:val="00D108BC"/>
    <w:rsid w:val="00D11FBC"/>
    <w:rsid w:val="00D11FC4"/>
    <w:rsid w:val="00D1214C"/>
    <w:rsid w:val="00D124E0"/>
    <w:rsid w:val="00D159B6"/>
    <w:rsid w:val="00D15ACA"/>
    <w:rsid w:val="00D202AE"/>
    <w:rsid w:val="00D22041"/>
    <w:rsid w:val="00D254D4"/>
    <w:rsid w:val="00D257E4"/>
    <w:rsid w:val="00D25B1D"/>
    <w:rsid w:val="00D26D8B"/>
    <w:rsid w:val="00D32A2C"/>
    <w:rsid w:val="00D33DCA"/>
    <w:rsid w:val="00D342DE"/>
    <w:rsid w:val="00D35918"/>
    <w:rsid w:val="00D378AD"/>
    <w:rsid w:val="00D41CF5"/>
    <w:rsid w:val="00D4600B"/>
    <w:rsid w:val="00D47D2C"/>
    <w:rsid w:val="00D50A26"/>
    <w:rsid w:val="00D53FD1"/>
    <w:rsid w:val="00D57B73"/>
    <w:rsid w:val="00D57BB1"/>
    <w:rsid w:val="00D612DB"/>
    <w:rsid w:val="00D6273C"/>
    <w:rsid w:val="00D64980"/>
    <w:rsid w:val="00D72259"/>
    <w:rsid w:val="00D74D5E"/>
    <w:rsid w:val="00D77589"/>
    <w:rsid w:val="00D82313"/>
    <w:rsid w:val="00D8341D"/>
    <w:rsid w:val="00D835D5"/>
    <w:rsid w:val="00D83C6F"/>
    <w:rsid w:val="00D84527"/>
    <w:rsid w:val="00D849C7"/>
    <w:rsid w:val="00D85868"/>
    <w:rsid w:val="00D9639A"/>
    <w:rsid w:val="00D979C6"/>
    <w:rsid w:val="00D97B7C"/>
    <w:rsid w:val="00DA0E85"/>
    <w:rsid w:val="00DB0C2F"/>
    <w:rsid w:val="00DB0CD5"/>
    <w:rsid w:val="00DB1524"/>
    <w:rsid w:val="00DB3C9D"/>
    <w:rsid w:val="00DB672A"/>
    <w:rsid w:val="00DB74C6"/>
    <w:rsid w:val="00DB7693"/>
    <w:rsid w:val="00DC13A6"/>
    <w:rsid w:val="00DC31C3"/>
    <w:rsid w:val="00DC3F36"/>
    <w:rsid w:val="00DC553E"/>
    <w:rsid w:val="00DC5B32"/>
    <w:rsid w:val="00DC7424"/>
    <w:rsid w:val="00DD0840"/>
    <w:rsid w:val="00DD1882"/>
    <w:rsid w:val="00DD1E3D"/>
    <w:rsid w:val="00DD34E0"/>
    <w:rsid w:val="00DD7120"/>
    <w:rsid w:val="00DE053A"/>
    <w:rsid w:val="00DE0E69"/>
    <w:rsid w:val="00DE3853"/>
    <w:rsid w:val="00DE59F6"/>
    <w:rsid w:val="00DE62EE"/>
    <w:rsid w:val="00DF4C8D"/>
    <w:rsid w:val="00DF5AA5"/>
    <w:rsid w:val="00DF72E1"/>
    <w:rsid w:val="00E0004F"/>
    <w:rsid w:val="00E01226"/>
    <w:rsid w:val="00E01449"/>
    <w:rsid w:val="00E029D5"/>
    <w:rsid w:val="00E03FCC"/>
    <w:rsid w:val="00E042AD"/>
    <w:rsid w:val="00E04AD2"/>
    <w:rsid w:val="00E071CA"/>
    <w:rsid w:val="00E11329"/>
    <w:rsid w:val="00E14E2A"/>
    <w:rsid w:val="00E20DA1"/>
    <w:rsid w:val="00E22417"/>
    <w:rsid w:val="00E25998"/>
    <w:rsid w:val="00E33334"/>
    <w:rsid w:val="00E354E2"/>
    <w:rsid w:val="00E36135"/>
    <w:rsid w:val="00E36E02"/>
    <w:rsid w:val="00E42878"/>
    <w:rsid w:val="00E43A46"/>
    <w:rsid w:val="00E43BC6"/>
    <w:rsid w:val="00E4544C"/>
    <w:rsid w:val="00E47BF0"/>
    <w:rsid w:val="00E500BF"/>
    <w:rsid w:val="00E51DCD"/>
    <w:rsid w:val="00E537E2"/>
    <w:rsid w:val="00E56F18"/>
    <w:rsid w:val="00E64638"/>
    <w:rsid w:val="00E73E44"/>
    <w:rsid w:val="00E7406A"/>
    <w:rsid w:val="00E751A7"/>
    <w:rsid w:val="00E81447"/>
    <w:rsid w:val="00E872CA"/>
    <w:rsid w:val="00E92D22"/>
    <w:rsid w:val="00E95D15"/>
    <w:rsid w:val="00E96762"/>
    <w:rsid w:val="00EA2524"/>
    <w:rsid w:val="00EB0597"/>
    <w:rsid w:val="00EB0A98"/>
    <w:rsid w:val="00EB4C88"/>
    <w:rsid w:val="00EB55A1"/>
    <w:rsid w:val="00EC0480"/>
    <w:rsid w:val="00EC49EE"/>
    <w:rsid w:val="00EC49F7"/>
    <w:rsid w:val="00EC4AA1"/>
    <w:rsid w:val="00EC5115"/>
    <w:rsid w:val="00EC7316"/>
    <w:rsid w:val="00EC7473"/>
    <w:rsid w:val="00ED454B"/>
    <w:rsid w:val="00ED6D96"/>
    <w:rsid w:val="00EE19CD"/>
    <w:rsid w:val="00EE3230"/>
    <w:rsid w:val="00EE32B5"/>
    <w:rsid w:val="00EE643B"/>
    <w:rsid w:val="00EE64E4"/>
    <w:rsid w:val="00EF04BE"/>
    <w:rsid w:val="00F018BF"/>
    <w:rsid w:val="00F061E1"/>
    <w:rsid w:val="00F07320"/>
    <w:rsid w:val="00F12A21"/>
    <w:rsid w:val="00F139B5"/>
    <w:rsid w:val="00F14A6B"/>
    <w:rsid w:val="00F2135D"/>
    <w:rsid w:val="00F21E1C"/>
    <w:rsid w:val="00F22BC2"/>
    <w:rsid w:val="00F2487F"/>
    <w:rsid w:val="00F248A3"/>
    <w:rsid w:val="00F301EA"/>
    <w:rsid w:val="00F34034"/>
    <w:rsid w:val="00F344BB"/>
    <w:rsid w:val="00F37EF0"/>
    <w:rsid w:val="00F401C7"/>
    <w:rsid w:val="00F4192C"/>
    <w:rsid w:val="00F50646"/>
    <w:rsid w:val="00F51D7D"/>
    <w:rsid w:val="00F54540"/>
    <w:rsid w:val="00F57C27"/>
    <w:rsid w:val="00F60CFE"/>
    <w:rsid w:val="00F71A76"/>
    <w:rsid w:val="00F76144"/>
    <w:rsid w:val="00F82B17"/>
    <w:rsid w:val="00F840CC"/>
    <w:rsid w:val="00F84B8F"/>
    <w:rsid w:val="00F874A9"/>
    <w:rsid w:val="00F96B1E"/>
    <w:rsid w:val="00FA2CBB"/>
    <w:rsid w:val="00FA652E"/>
    <w:rsid w:val="00FB300D"/>
    <w:rsid w:val="00FB55D2"/>
    <w:rsid w:val="00FB5F63"/>
    <w:rsid w:val="00FB6208"/>
    <w:rsid w:val="00FB784A"/>
    <w:rsid w:val="00FC0573"/>
    <w:rsid w:val="00FC4F34"/>
    <w:rsid w:val="00FC6FD8"/>
    <w:rsid w:val="00FD28B4"/>
    <w:rsid w:val="00FD5B9E"/>
    <w:rsid w:val="00FD7D61"/>
    <w:rsid w:val="00FF482E"/>
    <w:rsid w:val="00FF73C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D5"/>
    <w:pPr>
      <w:spacing w:after="200" w:line="276" w:lineRule="auto"/>
    </w:pPr>
    <w:rPr>
      <w:lang w:eastAsia="en-US"/>
    </w:rPr>
  </w:style>
  <w:style w:type="paragraph" w:styleId="Heading2">
    <w:name w:val="heading 2"/>
    <w:basedOn w:val="Normal"/>
    <w:next w:val="Normal"/>
    <w:link w:val="Heading2Char"/>
    <w:uiPriority w:val="99"/>
    <w:qFormat/>
    <w:rsid w:val="00C3622A"/>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C3622A"/>
    <w:pPr>
      <w:keepNext/>
      <w:spacing w:after="0" w:line="240" w:lineRule="auto"/>
      <w:outlineLvl w:val="2"/>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3622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C3622A"/>
    <w:rPr>
      <w:rFonts w:ascii="Times New Roman" w:hAnsi="Times New Roman" w:cs="Times New Roman"/>
      <w:b/>
      <w:bCs/>
      <w:sz w:val="24"/>
      <w:szCs w:val="24"/>
    </w:rPr>
  </w:style>
  <w:style w:type="paragraph" w:styleId="BalloonText">
    <w:name w:val="Balloon Text"/>
    <w:basedOn w:val="Normal"/>
    <w:link w:val="BalloonTextChar"/>
    <w:uiPriority w:val="99"/>
    <w:semiHidden/>
    <w:rsid w:val="003A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E5E"/>
    <w:rPr>
      <w:rFonts w:ascii="Tahoma" w:hAnsi="Tahoma" w:cs="Tahoma"/>
      <w:sz w:val="16"/>
      <w:szCs w:val="16"/>
    </w:rPr>
  </w:style>
  <w:style w:type="character" w:styleId="Hyperlink">
    <w:name w:val="Hyperlink"/>
    <w:basedOn w:val="DefaultParagraphFont"/>
    <w:uiPriority w:val="99"/>
    <w:rsid w:val="005142EA"/>
    <w:rPr>
      <w:rFonts w:cs="Times New Roman"/>
      <w:color w:val="0000FF"/>
      <w:u w:val="single"/>
    </w:rPr>
  </w:style>
  <w:style w:type="paragraph" w:styleId="NoSpacing">
    <w:name w:val="No Spacing"/>
    <w:uiPriority w:val="1"/>
    <w:qFormat/>
    <w:rsid w:val="005B166B"/>
    <w:rPr>
      <w:rFonts w:asciiTheme="minorHAnsi" w:eastAsiaTheme="minorHAnsi" w:hAnsiTheme="minorHAnsi" w:cstheme="minorBidi"/>
      <w:lang w:eastAsia="en-US"/>
    </w:rPr>
  </w:style>
  <w:style w:type="character" w:customStyle="1" w:styleId="apple-converted-space">
    <w:name w:val="apple-converted-space"/>
    <w:basedOn w:val="DefaultParagraphFont"/>
    <w:rsid w:val="00700352"/>
  </w:style>
  <w:style w:type="character" w:styleId="CommentReference">
    <w:name w:val="annotation reference"/>
    <w:basedOn w:val="DefaultParagraphFont"/>
    <w:uiPriority w:val="99"/>
    <w:semiHidden/>
    <w:unhideWhenUsed/>
    <w:rsid w:val="003E6E33"/>
    <w:rPr>
      <w:sz w:val="16"/>
      <w:szCs w:val="16"/>
    </w:rPr>
  </w:style>
  <w:style w:type="paragraph" w:styleId="CommentText">
    <w:name w:val="annotation text"/>
    <w:basedOn w:val="Normal"/>
    <w:link w:val="CommentTextChar"/>
    <w:uiPriority w:val="99"/>
    <w:semiHidden/>
    <w:unhideWhenUsed/>
    <w:rsid w:val="003E6E33"/>
    <w:pPr>
      <w:spacing w:line="240" w:lineRule="auto"/>
    </w:pPr>
    <w:rPr>
      <w:sz w:val="20"/>
      <w:szCs w:val="20"/>
    </w:rPr>
  </w:style>
  <w:style w:type="character" w:customStyle="1" w:styleId="CommentTextChar">
    <w:name w:val="Comment Text Char"/>
    <w:basedOn w:val="DefaultParagraphFont"/>
    <w:link w:val="CommentText"/>
    <w:uiPriority w:val="99"/>
    <w:semiHidden/>
    <w:rsid w:val="003E6E33"/>
    <w:rPr>
      <w:sz w:val="20"/>
      <w:szCs w:val="20"/>
      <w:lang w:eastAsia="en-US"/>
    </w:rPr>
  </w:style>
  <w:style w:type="paragraph" w:styleId="CommentSubject">
    <w:name w:val="annotation subject"/>
    <w:basedOn w:val="CommentText"/>
    <w:next w:val="CommentText"/>
    <w:link w:val="CommentSubjectChar"/>
    <w:uiPriority w:val="99"/>
    <w:semiHidden/>
    <w:unhideWhenUsed/>
    <w:rsid w:val="003E6E33"/>
    <w:rPr>
      <w:b/>
      <w:bCs/>
    </w:rPr>
  </w:style>
  <w:style w:type="character" w:customStyle="1" w:styleId="CommentSubjectChar">
    <w:name w:val="Comment Subject Char"/>
    <w:basedOn w:val="CommentTextChar"/>
    <w:link w:val="CommentSubject"/>
    <w:uiPriority w:val="99"/>
    <w:semiHidden/>
    <w:rsid w:val="003E6E33"/>
    <w:rPr>
      <w:b/>
      <w:bCs/>
    </w:rPr>
  </w:style>
  <w:style w:type="paragraph" w:styleId="NormalWeb">
    <w:name w:val="Normal (Web)"/>
    <w:basedOn w:val="Normal"/>
    <w:uiPriority w:val="99"/>
    <w:unhideWhenUsed/>
    <w:rsid w:val="0093754B"/>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r="http://schemas.openxmlformats.org/officeDocument/2006/relationships" xmlns:w="http://schemas.openxmlformats.org/wordprocessingml/2006/main">
  <w:divs>
    <w:div w:id="414087113">
      <w:bodyDiv w:val="1"/>
      <w:marLeft w:val="0"/>
      <w:marRight w:val="0"/>
      <w:marTop w:val="0"/>
      <w:marBottom w:val="0"/>
      <w:divBdr>
        <w:top w:val="none" w:sz="0" w:space="0" w:color="auto"/>
        <w:left w:val="none" w:sz="0" w:space="0" w:color="auto"/>
        <w:bottom w:val="none" w:sz="0" w:space="0" w:color="auto"/>
        <w:right w:val="none" w:sz="0" w:space="0" w:color="auto"/>
      </w:divBdr>
    </w:div>
    <w:div w:id="506528125">
      <w:bodyDiv w:val="1"/>
      <w:marLeft w:val="0"/>
      <w:marRight w:val="0"/>
      <w:marTop w:val="0"/>
      <w:marBottom w:val="0"/>
      <w:divBdr>
        <w:top w:val="none" w:sz="0" w:space="0" w:color="auto"/>
        <w:left w:val="none" w:sz="0" w:space="0" w:color="auto"/>
        <w:bottom w:val="none" w:sz="0" w:space="0" w:color="auto"/>
        <w:right w:val="none" w:sz="0" w:space="0" w:color="auto"/>
      </w:divBdr>
    </w:div>
    <w:div w:id="561451263">
      <w:bodyDiv w:val="1"/>
      <w:marLeft w:val="0"/>
      <w:marRight w:val="0"/>
      <w:marTop w:val="0"/>
      <w:marBottom w:val="0"/>
      <w:divBdr>
        <w:top w:val="none" w:sz="0" w:space="0" w:color="auto"/>
        <w:left w:val="none" w:sz="0" w:space="0" w:color="auto"/>
        <w:bottom w:val="none" w:sz="0" w:space="0" w:color="auto"/>
        <w:right w:val="none" w:sz="0" w:space="0" w:color="auto"/>
      </w:divBdr>
    </w:div>
    <w:div w:id="608700005">
      <w:bodyDiv w:val="1"/>
      <w:marLeft w:val="0"/>
      <w:marRight w:val="0"/>
      <w:marTop w:val="0"/>
      <w:marBottom w:val="0"/>
      <w:divBdr>
        <w:top w:val="none" w:sz="0" w:space="0" w:color="auto"/>
        <w:left w:val="none" w:sz="0" w:space="0" w:color="auto"/>
        <w:bottom w:val="none" w:sz="0" w:space="0" w:color="auto"/>
        <w:right w:val="none" w:sz="0" w:space="0" w:color="auto"/>
      </w:divBdr>
    </w:div>
    <w:div w:id="683481487">
      <w:bodyDiv w:val="1"/>
      <w:marLeft w:val="0"/>
      <w:marRight w:val="0"/>
      <w:marTop w:val="0"/>
      <w:marBottom w:val="0"/>
      <w:divBdr>
        <w:top w:val="none" w:sz="0" w:space="0" w:color="auto"/>
        <w:left w:val="none" w:sz="0" w:space="0" w:color="auto"/>
        <w:bottom w:val="none" w:sz="0" w:space="0" w:color="auto"/>
        <w:right w:val="none" w:sz="0" w:space="0" w:color="auto"/>
      </w:divBdr>
    </w:div>
    <w:div w:id="1216314742">
      <w:bodyDiv w:val="1"/>
      <w:marLeft w:val="0"/>
      <w:marRight w:val="0"/>
      <w:marTop w:val="0"/>
      <w:marBottom w:val="0"/>
      <w:divBdr>
        <w:top w:val="none" w:sz="0" w:space="0" w:color="auto"/>
        <w:left w:val="none" w:sz="0" w:space="0" w:color="auto"/>
        <w:bottom w:val="none" w:sz="0" w:space="0" w:color="auto"/>
        <w:right w:val="none" w:sz="0" w:space="0" w:color="auto"/>
      </w:divBdr>
    </w:div>
    <w:div w:id="1333265463">
      <w:bodyDiv w:val="1"/>
      <w:marLeft w:val="0"/>
      <w:marRight w:val="0"/>
      <w:marTop w:val="0"/>
      <w:marBottom w:val="0"/>
      <w:divBdr>
        <w:top w:val="none" w:sz="0" w:space="0" w:color="auto"/>
        <w:left w:val="none" w:sz="0" w:space="0" w:color="auto"/>
        <w:bottom w:val="none" w:sz="0" w:space="0" w:color="auto"/>
        <w:right w:val="none" w:sz="0" w:space="0" w:color="auto"/>
      </w:divBdr>
    </w:div>
    <w:div w:id="1373923375">
      <w:bodyDiv w:val="1"/>
      <w:marLeft w:val="0"/>
      <w:marRight w:val="0"/>
      <w:marTop w:val="0"/>
      <w:marBottom w:val="0"/>
      <w:divBdr>
        <w:top w:val="none" w:sz="0" w:space="0" w:color="auto"/>
        <w:left w:val="none" w:sz="0" w:space="0" w:color="auto"/>
        <w:bottom w:val="none" w:sz="0" w:space="0" w:color="auto"/>
        <w:right w:val="none" w:sz="0" w:space="0" w:color="auto"/>
      </w:divBdr>
    </w:div>
    <w:div w:id="1444039549">
      <w:bodyDiv w:val="1"/>
      <w:marLeft w:val="0"/>
      <w:marRight w:val="0"/>
      <w:marTop w:val="0"/>
      <w:marBottom w:val="0"/>
      <w:divBdr>
        <w:top w:val="none" w:sz="0" w:space="0" w:color="auto"/>
        <w:left w:val="none" w:sz="0" w:space="0" w:color="auto"/>
        <w:bottom w:val="none" w:sz="0" w:space="0" w:color="auto"/>
        <w:right w:val="none" w:sz="0" w:space="0" w:color="auto"/>
      </w:divBdr>
    </w:div>
    <w:div w:id="1444810884">
      <w:bodyDiv w:val="1"/>
      <w:marLeft w:val="0"/>
      <w:marRight w:val="0"/>
      <w:marTop w:val="0"/>
      <w:marBottom w:val="0"/>
      <w:divBdr>
        <w:top w:val="none" w:sz="0" w:space="0" w:color="auto"/>
        <w:left w:val="none" w:sz="0" w:space="0" w:color="auto"/>
        <w:bottom w:val="none" w:sz="0" w:space="0" w:color="auto"/>
        <w:right w:val="none" w:sz="0" w:space="0" w:color="auto"/>
      </w:divBdr>
    </w:div>
    <w:div w:id="1521577667">
      <w:bodyDiv w:val="1"/>
      <w:marLeft w:val="0"/>
      <w:marRight w:val="0"/>
      <w:marTop w:val="0"/>
      <w:marBottom w:val="0"/>
      <w:divBdr>
        <w:top w:val="none" w:sz="0" w:space="0" w:color="auto"/>
        <w:left w:val="none" w:sz="0" w:space="0" w:color="auto"/>
        <w:bottom w:val="none" w:sz="0" w:space="0" w:color="auto"/>
        <w:right w:val="none" w:sz="0" w:space="0" w:color="auto"/>
      </w:divBdr>
    </w:div>
    <w:div w:id="18514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erry.stewart@qv.co.nz"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qv.co.nz/"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qv.co.nz/n/resources/phoenix-54"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qv.co.n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iqwlgsv01\groups\Common\Stats\Property%20ValueMap\2013\June\rpmindex%20June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NZ"/>
  <c:chart>
    <c:title>
      <c:tx>
        <c:rich>
          <a:bodyPr/>
          <a:lstStyle/>
          <a:p>
            <a:pPr>
              <a:defRPr sz="1600" b="1"/>
            </a:pPr>
            <a:r>
              <a:rPr lang="en-NZ" sz="1600" b="1"/>
              <a:t>NZ price index relative to peak</a:t>
            </a:r>
          </a:p>
        </c:rich>
      </c:tx>
      <c:layout/>
      <c:overlay val="1"/>
    </c:title>
    <c:plotArea>
      <c:layout>
        <c:manualLayout>
          <c:layoutTarget val="inner"/>
          <c:xMode val="edge"/>
          <c:yMode val="edge"/>
          <c:x val="0.11505961754780585"/>
          <c:y val="9.7138693625441933E-2"/>
          <c:w val="0.85713302503853683"/>
          <c:h val="0.77427931802643479"/>
        </c:manualLayout>
      </c:layout>
      <c:lineChart>
        <c:grouping val="standard"/>
        <c:ser>
          <c:idx val="1"/>
          <c:order val="1"/>
          <c:tx>
            <c:strRef>
              <c:f>'chart data'!$A$125</c:f>
            </c:strRef>
          </c:tx>
          <c:spPr>
            <a:ln w="38100">
              <a:solidFill>
                <a:srgbClr val="FF9900"/>
              </a:solidFill>
              <a:prstDash val="solid"/>
            </a:ln>
          </c:spPr>
          <c:marker>
            <c:symbol val="none"/>
          </c:marker>
          <c:cat>
            <c:multiLvlStrRef>
              <c:f>'chart data'!$U$3:$CC$3</c:f>
            </c:multiLvlStrRef>
          </c:cat>
          <c:val>
            <c:numRef>
              <c:f>'chart data'!$U$125:$CC$125</c:f>
            </c:numRef>
          </c:val>
        </c:ser>
        <c:ser>
          <c:idx val="0"/>
          <c:order val="0"/>
          <c:tx>
            <c:strRef>
              <c:f>'[rpmindex June2013.xlsx]chart data'!$A$125</c:f>
              <c:strCache>
                <c:ptCount val="1"/>
                <c:pt idx="0">
                  <c:v> Total NZ </c:v>
                </c:pt>
              </c:strCache>
            </c:strRef>
          </c:tx>
          <c:spPr>
            <a:ln w="38100">
              <a:solidFill>
                <a:srgbClr val="FF9900"/>
              </a:solidFill>
              <a:prstDash val="solid"/>
            </a:ln>
          </c:spPr>
          <c:marker>
            <c:symbol val="none"/>
          </c:marker>
          <c:dPt>
            <c:idx val="48"/>
            <c:marker>
              <c:symbol val="circle"/>
              <c:size val="8"/>
              <c:spPr>
                <a:solidFill>
                  <a:srgbClr val="0000FF"/>
                </a:solidFill>
              </c:spPr>
            </c:marker>
          </c:dPt>
          <c:dPt>
            <c:idx val="60"/>
            <c:marker>
              <c:symbol val="circle"/>
              <c:size val="8"/>
              <c:spPr>
                <a:solidFill>
                  <a:srgbClr val="0000FF"/>
                </a:solidFill>
              </c:spPr>
            </c:marker>
          </c:dPt>
          <c:cat>
            <c:strRef>
              <c:f>'[rpmindex June2013.xlsx]chart data'!$U$3:$CC$3</c:f>
              <c:strCache>
                <c:ptCount val="61"/>
                <c:pt idx="0">
                  <c:v> Jun 08</c:v>
                </c:pt>
                <c:pt idx="1">
                  <c:v> Jul 08</c:v>
                </c:pt>
                <c:pt idx="2">
                  <c:v> Aug 08</c:v>
                </c:pt>
                <c:pt idx="3">
                  <c:v> Sep 08</c:v>
                </c:pt>
                <c:pt idx="4">
                  <c:v> Oct 08</c:v>
                </c:pt>
                <c:pt idx="5">
                  <c:v> Nov 08</c:v>
                </c:pt>
                <c:pt idx="6">
                  <c:v> Dec 08</c:v>
                </c:pt>
                <c:pt idx="7">
                  <c:v> Jan 09</c:v>
                </c:pt>
                <c:pt idx="8">
                  <c:v> Feb 09</c:v>
                </c:pt>
                <c:pt idx="9">
                  <c:v>Mar 09</c:v>
                </c:pt>
                <c:pt idx="10">
                  <c:v>Apr 09</c:v>
                </c:pt>
                <c:pt idx="11">
                  <c:v>May 09</c:v>
                </c:pt>
                <c:pt idx="12">
                  <c:v>Jun 09</c:v>
                </c:pt>
                <c:pt idx="13">
                  <c:v>Jul 09</c:v>
                </c:pt>
                <c:pt idx="14">
                  <c:v>Aug 09</c:v>
                </c:pt>
                <c:pt idx="15">
                  <c:v>Sep 09</c:v>
                </c:pt>
                <c:pt idx="16">
                  <c:v>Oct 09</c:v>
                </c:pt>
                <c:pt idx="17">
                  <c:v>Nov 09</c:v>
                </c:pt>
                <c:pt idx="18">
                  <c:v>Dec 09</c:v>
                </c:pt>
                <c:pt idx="19">
                  <c:v>Jan 10</c:v>
                </c:pt>
                <c:pt idx="20">
                  <c:v>Feb 10</c:v>
                </c:pt>
                <c:pt idx="21">
                  <c:v>Mar 10</c:v>
                </c:pt>
                <c:pt idx="22">
                  <c:v>Apr 10</c:v>
                </c:pt>
                <c:pt idx="23">
                  <c:v>May 10</c:v>
                </c:pt>
                <c:pt idx="24">
                  <c:v>Jun 10</c:v>
                </c:pt>
                <c:pt idx="25">
                  <c:v>Jul 10</c:v>
                </c:pt>
                <c:pt idx="26">
                  <c:v>Aug 10</c:v>
                </c:pt>
                <c:pt idx="27">
                  <c:v>Sep 10</c:v>
                </c:pt>
                <c:pt idx="28">
                  <c:v>Oct 10</c:v>
                </c:pt>
                <c:pt idx="29">
                  <c:v>Nov 10</c:v>
                </c:pt>
                <c:pt idx="30">
                  <c:v>Dec 10</c:v>
                </c:pt>
                <c:pt idx="31">
                  <c:v>Jan 11</c:v>
                </c:pt>
                <c:pt idx="32">
                  <c:v>Feb 11</c:v>
                </c:pt>
                <c:pt idx="33">
                  <c:v>Mar 11</c:v>
                </c:pt>
                <c:pt idx="34">
                  <c:v>Apr 11</c:v>
                </c:pt>
                <c:pt idx="35">
                  <c:v>May 11</c:v>
                </c:pt>
                <c:pt idx="36">
                  <c:v>Jun 11</c:v>
                </c:pt>
                <c:pt idx="37">
                  <c:v>Jul 11</c:v>
                </c:pt>
                <c:pt idx="38">
                  <c:v>Aug 11</c:v>
                </c:pt>
                <c:pt idx="39">
                  <c:v>Sep 11</c:v>
                </c:pt>
                <c:pt idx="40">
                  <c:v>Oct 11</c:v>
                </c:pt>
                <c:pt idx="41">
                  <c:v>Nov 11</c:v>
                </c:pt>
                <c:pt idx="42">
                  <c:v>Dec 11</c:v>
                </c:pt>
                <c:pt idx="43">
                  <c:v>Jan 12</c:v>
                </c:pt>
                <c:pt idx="44">
                  <c:v>Feb 12</c:v>
                </c:pt>
                <c:pt idx="45">
                  <c:v>Mar 12</c:v>
                </c:pt>
                <c:pt idx="46">
                  <c:v>Apr 12</c:v>
                </c:pt>
                <c:pt idx="47">
                  <c:v>May 12</c:v>
                </c:pt>
                <c:pt idx="48">
                  <c:v>Jun 12</c:v>
                </c:pt>
                <c:pt idx="49">
                  <c:v>Jul 12</c:v>
                </c:pt>
                <c:pt idx="50">
                  <c:v>Aug 12</c:v>
                </c:pt>
                <c:pt idx="51">
                  <c:v>Sep 12</c:v>
                </c:pt>
                <c:pt idx="52">
                  <c:v>Oct 12</c:v>
                </c:pt>
                <c:pt idx="53">
                  <c:v>Nov 12</c:v>
                </c:pt>
                <c:pt idx="54">
                  <c:v>Dec 12</c:v>
                </c:pt>
                <c:pt idx="55">
                  <c:v>Jan 13</c:v>
                </c:pt>
                <c:pt idx="56">
                  <c:v>Feb 13</c:v>
                </c:pt>
                <c:pt idx="57">
                  <c:v>Mar 13</c:v>
                </c:pt>
                <c:pt idx="58">
                  <c:v>Apr 13</c:v>
                </c:pt>
                <c:pt idx="59">
                  <c:v>May 13</c:v>
                </c:pt>
                <c:pt idx="60">
                  <c:v>Jun 13</c:v>
                </c:pt>
              </c:strCache>
            </c:strRef>
          </c:cat>
          <c:val>
            <c:numRef>
              <c:f>'[rpmindex June2013.xlsx]chart data'!$U$125:$CC$125</c:f>
              <c:numCache>
                <c:formatCode>0.0%</c:formatCode>
                <c:ptCount val="61"/>
                <c:pt idx="0">
                  <c:v>0.97781947871182262</c:v>
                </c:pt>
                <c:pt idx="1">
                  <c:v>0.96311512067100302</c:v>
                </c:pt>
                <c:pt idx="2">
                  <c:v>0.94814839437095755</c:v>
                </c:pt>
                <c:pt idx="3">
                  <c:v>0.93834225381185676</c:v>
                </c:pt>
                <c:pt idx="4">
                  <c:v>0.93248844748657522</c:v>
                </c:pt>
                <c:pt idx="5">
                  <c:v>0.93154973242370698</c:v>
                </c:pt>
                <c:pt idx="6">
                  <c:v>0.92497143192806064</c:v>
                </c:pt>
                <c:pt idx="7">
                  <c:v>0.91642657475827038</c:v>
                </c:pt>
                <c:pt idx="8">
                  <c:v>0.90966171114599481</c:v>
                </c:pt>
                <c:pt idx="9">
                  <c:v>0.9052212425420757</c:v>
                </c:pt>
                <c:pt idx="10">
                  <c:v>0.90395253722666857</c:v>
                </c:pt>
                <c:pt idx="11">
                  <c:v>0.90712430051518411</c:v>
                </c:pt>
                <c:pt idx="12">
                  <c:v>0.90902735848829264</c:v>
                </c:pt>
                <c:pt idx="13">
                  <c:v>0.91537088506532116</c:v>
                </c:pt>
                <c:pt idx="14">
                  <c:v>0.92108005898464751</c:v>
                </c:pt>
                <c:pt idx="15">
                  <c:v>0.9286922908770826</c:v>
                </c:pt>
                <c:pt idx="16">
                  <c:v>0.93440146479640851</c:v>
                </c:pt>
                <c:pt idx="17">
                  <c:v>0.94074499137343925</c:v>
                </c:pt>
                <c:pt idx="18">
                  <c:v>0.9502602812389821</c:v>
                </c:pt>
                <c:pt idx="19">
                  <c:v>0.95635634684424031</c:v>
                </c:pt>
                <c:pt idx="20">
                  <c:v>0.95977557110452705</c:v>
                </c:pt>
                <c:pt idx="21">
                  <c:v>0.96040992376222856</c:v>
                </c:pt>
                <c:pt idx="22">
                  <c:v>0.95977557110452705</c:v>
                </c:pt>
                <c:pt idx="23">
                  <c:v>0.95850686578911959</c:v>
                </c:pt>
                <c:pt idx="24">
                  <c:v>0.95596945515830944</c:v>
                </c:pt>
                <c:pt idx="25">
                  <c:v>0.95279769186979479</c:v>
                </c:pt>
                <c:pt idx="26">
                  <c:v>0.94962592858128025</c:v>
                </c:pt>
                <c:pt idx="27">
                  <c:v>0.94708851795046745</c:v>
                </c:pt>
                <c:pt idx="28">
                  <c:v>0.94518545997735859</c:v>
                </c:pt>
                <c:pt idx="29">
                  <c:v>0.94391675466195257</c:v>
                </c:pt>
                <c:pt idx="30">
                  <c:v>0.94201369668884516</c:v>
                </c:pt>
                <c:pt idx="31">
                  <c:v>0.94192640976314412</c:v>
                </c:pt>
                <c:pt idx="32">
                  <c:v>0.94328240200424951</c:v>
                </c:pt>
                <c:pt idx="33">
                  <c:v>0.9413793440311411</c:v>
                </c:pt>
                <c:pt idx="34">
                  <c:v>0.94201369668884516</c:v>
                </c:pt>
                <c:pt idx="35">
                  <c:v>0.94328240200424951</c:v>
                </c:pt>
                <c:pt idx="36">
                  <c:v>0.94772287060817273</c:v>
                </c:pt>
                <c:pt idx="37">
                  <c:v>0.94835722326587424</c:v>
                </c:pt>
                <c:pt idx="38">
                  <c:v>0.9502602812389821</c:v>
                </c:pt>
                <c:pt idx="39">
                  <c:v>0.9540663971851997</c:v>
                </c:pt>
                <c:pt idx="40">
                  <c:v>0.95614707390246523</c:v>
                </c:pt>
                <c:pt idx="41">
                  <c:v>0.96019868432721378</c:v>
                </c:pt>
                <c:pt idx="42">
                  <c:v>0.96505401956927328</c:v>
                </c:pt>
                <c:pt idx="43">
                  <c:v>0.96694058437328156</c:v>
                </c:pt>
                <c:pt idx="44">
                  <c:v>0.97054434182169036</c:v>
                </c:pt>
                <c:pt idx="45">
                  <c:v>0.96951034698963456</c:v>
                </c:pt>
                <c:pt idx="46">
                  <c:v>0.97088435484621927</c:v>
                </c:pt>
                <c:pt idx="47">
                  <c:v>0.98023915348936452</c:v>
                </c:pt>
                <c:pt idx="48">
                  <c:v>0.98713900734719962</c:v>
                </c:pt>
                <c:pt idx="49">
                  <c:v>0.99176534127982652</c:v>
                </c:pt>
                <c:pt idx="50">
                  <c:v>0.99602945984490587</c:v>
                </c:pt>
                <c:pt idx="51">
                  <c:v>1.0047296065452997</c:v>
                </c:pt>
                <c:pt idx="52">
                  <c:v>1.0110572743058881</c:v>
                </c:pt>
                <c:pt idx="53">
                  <c:v>1.0145449452179378</c:v>
                </c:pt>
                <c:pt idx="54">
                  <c:v>1.0198652609580934</c:v>
                </c:pt>
                <c:pt idx="55">
                  <c:v>1.026470140830096</c:v>
                </c:pt>
                <c:pt idx="56">
                  <c:v>1.031860869715256</c:v>
                </c:pt>
                <c:pt idx="57">
                  <c:v>1.0327508664940146</c:v>
                </c:pt>
                <c:pt idx="58">
                  <c:v>1.0397452388978452</c:v>
                </c:pt>
                <c:pt idx="59">
                  <c:v>1.0496849106913924</c:v>
                </c:pt>
                <c:pt idx="60">
                  <c:v>1.0620991922026368</c:v>
                </c:pt>
              </c:numCache>
            </c:numRef>
          </c:val>
        </c:ser>
        <c:marker val="1"/>
        <c:axId val="119662848"/>
        <c:axId val="121413632"/>
      </c:lineChart>
      <c:catAx>
        <c:axId val="119662848"/>
        <c:scaling>
          <c:orientation val="minMax"/>
        </c:scaling>
        <c:axPos val="b"/>
        <c:numFmt formatCode="0" sourceLinked="1"/>
        <c:tickLblPos val="nextTo"/>
        <c:spPr>
          <a:ln w="3175">
            <a:solidFill>
              <a:srgbClr val="000000"/>
            </a:solidFill>
            <a:prstDash val="solid"/>
          </a:ln>
        </c:spPr>
        <c:txPr>
          <a:bodyPr rot="-2700000" vert="horz"/>
          <a:lstStyle/>
          <a:p>
            <a:pPr>
              <a:defRPr/>
            </a:pPr>
            <a:endParaRPr lang="en-US"/>
          </a:p>
        </c:txPr>
        <c:crossAx val="121413632"/>
        <c:crosses val="autoZero"/>
        <c:auto val="1"/>
        <c:lblAlgn val="ctr"/>
        <c:lblOffset val="100"/>
        <c:tickLblSkip val="3"/>
        <c:tickMarkSkip val="3"/>
      </c:catAx>
      <c:valAx>
        <c:axId val="121413632"/>
        <c:scaling>
          <c:orientation val="minMax"/>
          <c:max val="1.1000000000000001"/>
          <c:min val="0.85000000000000064"/>
        </c:scaling>
        <c:axPos val="l"/>
        <c:majorGridlines>
          <c:spPr>
            <a:ln w="3175">
              <a:solidFill>
                <a:srgbClr val="C0C0C0"/>
              </a:solidFill>
              <a:prstDash val="solid"/>
            </a:ln>
          </c:spPr>
        </c:majorGridlines>
        <c:title>
          <c:tx>
            <c:rich>
              <a:bodyPr/>
              <a:lstStyle/>
              <a:p>
                <a:pPr>
                  <a:defRPr/>
                </a:pPr>
                <a:r>
                  <a:rPr lang="en-NZ"/>
                  <a:t>QV residential price index relative to market peak</a:t>
                </a:r>
              </a:p>
            </c:rich>
          </c:tx>
          <c:layout>
            <c:manualLayout>
              <c:xMode val="edge"/>
              <c:yMode val="edge"/>
              <c:x val="1.1418775605079133E-2"/>
              <c:y val="0.13829881558923182"/>
            </c:manualLayout>
          </c:layout>
        </c:title>
        <c:numFmt formatCode="0%" sourceLinked="0"/>
        <c:tickLblPos val="nextTo"/>
        <c:spPr>
          <a:ln w="3175">
            <a:solidFill>
              <a:srgbClr val="000000"/>
            </a:solidFill>
            <a:prstDash val="solid"/>
          </a:ln>
        </c:spPr>
        <c:txPr>
          <a:bodyPr rot="0" vert="horz"/>
          <a:lstStyle/>
          <a:p>
            <a:pPr>
              <a:defRPr/>
            </a:pPr>
            <a:endParaRPr lang="en-US"/>
          </a:p>
        </c:txPr>
        <c:crossAx val="119662848"/>
        <c:crosses val="autoZero"/>
        <c:crossBetween val="midCat"/>
        <c:majorUnit val="5.0000000000000031E-2"/>
      </c:valAx>
      <c:spPr>
        <a:noFill/>
        <a:ln w="25400">
          <a:noFill/>
        </a:ln>
      </c:spPr>
    </c:plotArea>
    <c:plotVisOnly val="1"/>
    <c:dispBlanksAs val="gap"/>
  </c:chart>
  <c:spPr>
    <a:solidFill>
      <a:srgbClr val="FFFFFF"/>
    </a:solidFill>
    <a:ln w="3175">
      <a:noFill/>
      <a:prstDash val="solid"/>
    </a:ln>
  </c:spPr>
  <c:txPr>
    <a:bodyPr/>
    <a:lstStyle/>
    <a:p>
      <a:pPr>
        <a:defRPr sz="900" b="0" i="0" u="none" strike="noStrike" baseline="0">
          <a:solidFill>
            <a:srgbClr val="000000"/>
          </a:solidFill>
          <a:latin typeface="+mn-lt"/>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7875-6078-481C-AC39-BE6C11AE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ingersonj</dc:creator>
  <cp:lastModifiedBy>thomasona</cp:lastModifiedBy>
  <cp:revision>4</cp:revision>
  <cp:lastPrinted>2013-02-07T21:21:00Z</cp:lastPrinted>
  <dcterms:created xsi:type="dcterms:W3CDTF">2013-07-08T01:09:00Z</dcterms:created>
  <dcterms:modified xsi:type="dcterms:W3CDTF">2013-07-08T23:51:00Z</dcterms:modified>
</cp:coreProperties>
</file>